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color w:val="1A6B8A"/>
          <w:sz w:val="52"/>
          <w:szCs w:val="52"/>
        </w:rPr>
        <w:t xml:space="preserve">ABXTac Peptide Protocol Guide</w:t>
      </w:r>
    </w:p>
    <w:p>
      <w:pPr>
        <w:spacing w:after="120" w:before="0"/>
        <w:jc w:val="center"/>
      </w:pPr>
      <w:r>
        <w:rPr>
          <w:color w:val="2E8B57"/>
          <w:sz w:val="32"/>
          <w:szCs w:val="32"/>
        </w:rPr>
        <w:t xml:space="preserve">Dosing &amp; Reconstitution Reference</w:t>
      </w:r>
    </w:p>
    <w:p>
      <w:pPr>
        <w:spacing w:after="480" w:before="0"/>
        <w:jc w:val="center"/>
      </w:pPr>
      <w:r>
        <w:rPr>
          <w:i/>
          <w:iCs/>
          <w:color w:val="666666"/>
          <w:sz w:val="22"/>
          <w:szCs w:val="22"/>
        </w:rPr>
        <w:t xml:space="preserve">For Wellness &amp; Optimization Purposes | Granite Mountain Health Clinic</w:t>
      </w:r>
    </w:p>
    <w:p>
      <w:pPr>
        <w:pBdr>
          <w:bottom w:val="single" w:color="1A6B8A" w:sz="6" w:space="1"/>
        </w:pBdr>
        <w:spacing w:after="240" w:before="240"/>
      </w:pPr>
      <w:r>
        <w:t xml:space="preserve"/>
      </w:r>
    </w:p>
    <w:p>
      <w:pPr>
        <w:spacing w:after="120" w:before="120"/>
      </w:pPr>
      <w:r>
        <w:t xml:space="preserve"/>
      </w:r>
    </w:p>
    <w:p>
      <w:pPr>
        <w:pStyle w:val="Heading2"/>
      </w:pPr>
      <w:r>
        <w:rPr>
          <w:b/>
          <w:bCs/>
          <w:color w:val="2E8B57"/>
          <w:sz w:val="26"/>
          <w:szCs w:val="26"/>
        </w:rPr>
        <w:t xml:space="preserve">Important Disclaimer</w:t>
      </w:r>
    </w:p>
    <w:p>
      <w:pPr>
        <w:spacing w:after="60" w:before="60"/>
      </w:pPr>
      <w:r>
        <w:rPr>
          <w:sz w:val="22"/>
          <w:szCs w:val="22"/>
        </w:rPr>
        <w:t xml:space="preserve">This guide is for informational and educational purposes only. All peptide protocols should be supervised by a licensed healthcare provider. Individual dosing may vary based on health status, goals, and provider guidance. The information contained herein does not constitute medical advice.</w:t>
      </w:r>
    </w:p>
    <w:p>
      <w:pPr>
        <w:spacing w:after="120" w:before="120"/>
      </w:pPr>
      <w:r>
        <w:t xml:space="preserve"/>
      </w:r>
    </w:p>
    <w:p>
      <w:pPr>
        <w:pStyle w:val="Heading2"/>
      </w:pPr>
      <w:r>
        <w:rPr>
          <w:b/>
          <w:bCs/>
          <w:color w:val="2E8B57"/>
          <w:sz w:val="26"/>
          <w:szCs w:val="26"/>
        </w:rPr>
        <w:t xml:space="preserve">Reconstitution Quick Reference</w:t>
      </w:r>
    </w:p>
    <w:p>
      <w:pPr>
        <w:spacing w:after="60" w:before="60"/>
      </w:pPr>
      <w:r>
        <w:rPr>
          <w:sz w:val="22"/>
          <w:szCs w:val="22"/>
        </w:rPr>
        <w:t xml:space="preserve">All peptides require reconstitution with bacteriostatic water (BAC water) before injection. Follow these universal guidelines:</w:t>
      </w:r>
    </w:p>
    <w:p>
      <w:pPr>
        <w:pStyle w:val="ListParagraph"/>
        <w:numPr>
          <w:ilvl w:val="0"/>
          <w:numId w:val="2"/>
        </w:numPr>
      </w:pPr>
      <w:r>
        <w:rPr>
          <w:sz w:val="22"/>
          <w:szCs w:val="22"/>
        </w:rPr>
        <w:t xml:space="preserve">Always use bacteriostatic water — NOT sterile water or saline for multi-use vials</w:t>
      </w:r>
    </w:p>
    <w:p>
      <w:pPr>
        <w:pStyle w:val="ListParagraph"/>
        <w:numPr>
          <w:ilvl w:val="0"/>
          <w:numId w:val="2"/>
        </w:numPr>
      </w:pPr>
      <w:r>
        <w:rPr>
          <w:sz w:val="22"/>
          <w:szCs w:val="22"/>
        </w:rPr>
        <w:t xml:space="preserve">Inject BAC water slowly down the side of the vial — do not spray directly on powder</w:t>
      </w:r>
    </w:p>
    <w:p>
      <w:pPr>
        <w:pStyle w:val="ListParagraph"/>
        <w:numPr>
          <w:ilvl w:val="0"/>
          <w:numId w:val="2"/>
        </w:numPr>
      </w:pPr>
      <w:r>
        <w:rPr>
          <w:sz w:val="22"/>
          <w:szCs w:val="22"/>
        </w:rPr>
        <w:t xml:space="preserve">Swirl gently to dissolve — never shake the vial</w:t>
      </w:r>
    </w:p>
    <w:p>
      <w:pPr>
        <w:pStyle w:val="ListParagraph"/>
        <w:numPr>
          <w:ilvl w:val="0"/>
          <w:numId w:val="2"/>
        </w:numPr>
      </w:pPr>
      <w:r>
        <w:rPr>
          <w:sz w:val="22"/>
          <w:szCs w:val="22"/>
        </w:rPr>
        <w:t xml:space="preserve">Use a U-100 insulin syringe for all SQ injections</w:t>
      </w:r>
    </w:p>
    <w:p>
      <w:pPr>
        <w:pStyle w:val="ListParagraph"/>
        <w:numPr>
          <w:ilvl w:val="0"/>
          <w:numId w:val="2"/>
        </w:numPr>
      </w:pPr>
      <w:r>
        <w:rPr>
          <w:sz w:val="22"/>
          <w:szCs w:val="22"/>
        </w:rPr>
        <w:t xml:space="preserve">Refrigerate all reconstituted peptides at 2–8°C</w:t>
      </w:r>
    </w:p>
    <w:p>
      <w:pPr>
        <w:pStyle w:val="ListParagraph"/>
        <w:numPr>
          <w:ilvl w:val="0"/>
          <w:numId w:val="2"/>
        </w:numPr>
      </w:pPr>
      <w:r>
        <w:rPr>
          <w:sz w:val="22"/>
          <w:szCs w:val="22"/>
        </w:rPr>
        <w:t xml:space="preserve">Label each vial with the date of reconstitution</w:t>
      </w:r>
    </w:p>
    <w:p>
      <w:pPr>
        <w:pStyle w:val="ListParagraph"/>
        <w:numPr>
          <w:ilvl w:val="0"/>
          <w:numId w:val="2"/>
        </w:numPr>
      </w:pPr>
      <w:r>
        <w:rPr>
          <w:sz w:val="22"/>
          <w:szCs w:val="22"/>
        </w:rPr>
        <w:t xml:space="preserve">Use reconstituted peptides within the timeframe specified for each peptide</w:t>
      </w:r>
    </w:p>
    <w:p>
      <w:pPr>
        <w:spacing w:after="120" w:before="120"/>
      </w:pPr>
      <w:r>
        <w:t xml:space="preserve"/>
      </w:r>
    </w:p>
    <w:p>
      <w:pPr>
        <w:pStyle w:val="Heading2"/>
      </w:pPr>
      <w:r>
        <w:rPr>
          <w:b/>
          <w:bCs/>
          <w:color w:val="2E8B57"/>
          <w:sz w:val="26"/>
          <w:szCs w:val="26"/>
        </w:rPr>
        <w:t xml:space="preserve">Syringe Unit Reference (U-100 Insulin Syringe)</w:t>
      </w:r>
    </w:p>
    <w:p>
      <w:pPr>
        <w:spacing w:after="60" w:before="60"/>
      </w:pPr>
      <w:r>
        <w:rPr>
          <w:sz w:val="22"/>
          <w:szCs w:val="22"/>
        </w:rPr>
        <w:t xml:space="preserve">On a U-100 insulin syringe: 100 units = 1mL. Use the table below to calculate your draw volume: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6B8A" w:sz="1"/>
              <w:left w:val="single" w:color="1A6B8A" w:sz="1"/>
              <w:bottom w:val="single" w:color="1A6B8A" w:sz="1"/>
              <w:right w:val="single" w:color="1A6B8A" w:sz="1"/>
            </w:tcBorders>
            <w:shd w:fill="1A6B8A" w:val="clear"/>
            <w:tcMar>
              <w:top w:type="dxa" w:w="80"/>
              <w:left w:type="dxa" w:w="120"/>
              <w:bottom w:type="dxa" w:w="80"/>
              <w:right w:type="dxa" w:w="120"/>
            </w:tcMar>
          </w:tcPr>
          <w:p>
            <w:r>
              <w:rPr>
                <w:b/>
                <w:bCs/>
                <w:color w:val="FFFFFF"/>
                <w:sz w:val="20"/>
                <w:szCs w:val="20"/>
              </w:rPr>
              <w:t xml:space="preserve">Concentration</w:t>
            </w:r>
          </w:p>
        </w:tc>
        <w:tc>
          <w:tcPr>
            <w:tcW w:type="dxa" w:w="2340"/>
            <w:tcBorders>
              <w:top w:val="single" w:color="1A6B8A" w:sz="1"/>
              <w:left w:val="single" w:color="1A6B8A" w:sz="1"/>
              <w:bottom w:val="single" w:color="1A6B8A" w:sz="1"/>
              <w:right w:val="single" w:color="1A6B8A" w:sz="1"/>
            </w:tcBorders>
            <w:shd w:fill="1A6B8A" w:val="clear"/>
            <w:tcMar>
              <w:top w:type="dxa" w:w="80"/>
              <w:left w:type="dxa" w:w="120"/>
              <w:bottom w:type="dxa" w:w="80"/>
              <w:right w:type="dxa" w:w="120"/>
            </w:tcMar>
          </w:tcPr>
          <w:p>
            <w:r>
              <w:rPr>
                <w:b/>
                <w:bCs/>
                <w:color w:val="FFFFFF"/>
                <w:sz w:val="20"/>
                <w:szCs w:val="20"/>
              </w:rPr>
              <w:t xml:space="preserve">Dose</w:t>
            </w:r>
          </w:p>
        </w:tc>
        <w:tc>
          <w:tcPr>
            <w:tcW w:type="dxa" w:w="2340"/>
            <w:tcBorders>
              <w:top w:val="single" w:color="1A6B8A" w:sz="1"/>
              <w:left w:val="single" w:color="1A6B8A" w:sz="1"/>
              <w:bottom w:val="single" w:color="1A6B8A" w:sz="1"/>
              <w:right w:val="single" w:color="1A6B8A" w:sz="1"/>
            </w:tcBorders>
            <w:shd w:fill="1A6B8A" w:val="clear"/>
            <w:tcMar>
              <w:top w:type="dxa" w:w="80"/>
              <w:left w:type="dxa" w:w="120"/>
              <w:bottom w:type="dxa" w:w="80"/>
              <w:right w:type="dxa" w:w="120"/>
            </w:tcMar>
          </w:tcPr>
          <w:p>
            <w:r>
              <w:rPr>
                <w:b/>
                <w:bCs/>
                <w:color w:val="FFFFFF"/>
                <w:sz w:val="20"/>
                <w:szCs w:val="20"/>
              </w:rPr>
              <w:t xml:space="preserve">Draw Volume</w:t>
            </w:r>
          </w:p>
        </w:tc>
        <w:tc>
          <w:tcPr>
            <w:tcW w:type="dxa" w:w="2340"/>
            <w:tcBorders>
              <w:top w:val="single" w:color="1A6B8A" w:sz="1"/>
              <w:left w:val="single" w:color="1A6B8A" w:sz="1"/>
              <w:bottom w:val="single" w:color="1A6B8A" w:sz="1"/>
              <w:right w:val="single" w:color="1A6B8A" w:sz="1"/>
            </w:tcBorders>
            <w:shd w:fill="1A6B8A" w:val="clear"/>
            <w:tcMar>
              <w:top w:type="dxa" w:w="80"/>
              <w:left w:type="dxa" w:w="120"/>
              <w:bottom w:type="dxa" w:w="80"/>
              <w:right w:type="dxa" w:w="120"/>
            </w:tcMar>
          </w:tcPr>
          <w:p>
            <w:r>
              <w:rPr>
                <w:b/>
                <w:bCs/>
                <w:color w:val="FFFFFF"/>
                <w:sz w:val="20"/>
                <w:szCs w:val="20"/>
              </w:rPr>
              <w:t xml:space="preserve">Units (U-100)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1mg/mL (1000mcg/mL)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100mcg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 units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1mg/mL (1000mcg/mL)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250mcg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0.25mL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units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1mg/mL (1000mcg/mL)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500mcg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0.5mL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50 units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2.5mg/mL (2500mcg/mL)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250mcg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units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2.5mg/mL (2500mcg/mL)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500mcg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 units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5mg/mL (5000mcg/mL)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250mcg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0.05mL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units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5mg/mL (5000mcg/mL)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500mcg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 units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5mg/mL (5000mcg/mL)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1mg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units</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YPB.200 / YPB.201 / YPB.202</w:t>
      </w:r>
    </w:p>
    <w:p>
      <w:pPr>
        <w:spacing w:after="160" w:before="80"/>
      </w:pPr>
      <w:r>
        <w:rPr>
          <w:b/>
          <w:bCs/>
          <w:color w:val="1A6B8A"/>
          <w:sz w:val="32"/>
          <w:szCs w:val="32"/>
        </w:rPr>
        <w:t xml:space="preserve">Semaglutide (GLP-1 Agonist)</w:t>
      </w:r>
    </w:p>
    <w:p>
      <w:pPr>
        <w:spacing w:after="120" w:before="0"/>
      </w:pPr>
      <w:r>
        <w:rPr>
          <w:i/>
          <w:iCs/>
          <w:color w:val="666666"/>
          <w:sz w:val="20"/>
          <w:szCs w:val="20"/>
        </w:rPr>
        <w:t xml:space="preserve">10mg / 20mg / 30mg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Semaglutide is a GLP-1 receptor agonist that mimics the hormone GLP-1, reducing appetite, slowing gastric emptying, and improving blood sugar regulation. It is one of the most clinically proven peptides for weight management and metabolic health.</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Starting dose: 0.25mg subcutaneous (SQ) injection once weekly x 4 weeks | Week 5-8: increase to 0.5mg once weekly | Week 9-12: increase to 1.0mg once weekly | Maintenance: 1.0–2.4mg once weekly (titrate based on tolerance and goals) | Route: Subcutaneous injection (abdomen, thigh, or upper arm)</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 weekly protocol. No mandatory cycling required. Reassess every 3 months.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bacteriostatic water to a 10mg vial = 5mg/mL (500mcg per 10 units on U-100 syringe). For a 0.25mg dose: draw 5 units. For a 0.5mg dose: draw 10 units. For a 1mg dose: draw 20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Unreconstituted: refrigerate at 2–8°C. Reconstituted: refrigerate, use within 28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Rotate injection sites. Take with or without food. Nausea is common early on — start low and titrate slowly. Stay well hydrated.</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YPB.203 / YPB.204 / YPB.205 / YPB.206 / YPB.207 / YPB.208</w:t>
      </w:r>
    </w:p>
    <w:p>
      <w:pPr>
        <w:spacing w:after="160" w:before="80"/>
      </w:pPr>
      <w:r>
        <w:rPr>
          <w:b/>
          <w:bCs/>
          <w:color w:val="1A6B8A"/>
          <w:sz w:val="32"/>
          <w:szCs w:val="32"/>
        </w:rPr>
        <w:t xml:space="preserve">Tirzepatide (Dual GLP-1/GIP Agonist)</w:t>
      </w:r>
    </w:p>
    <w:p>
      <w:pPr>
        <w:spacing w:after="120" w:before="0"/>
      </w:pPr>
      <w:r>
        <w:rPr>
          <w:i/>
          <w:iCs/>
          <w:color w:val="666666"/>
          <w:sz w:val="20"/>
          <w:szCs w:val="20"/>
        </w:rPr>
        <w:t xml:space="preserve">10mg / 20mg / 30mg / 40mg / 50mg / 60mg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Tirzepatide activates both GLP-1 and GIP receptors, delivering superior weight loss and metabolic benefits compared to GLP-1 alone. It is recognized as the most effective peptide currently available for body composition and metabolic optimization.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Starting dose: 2.5mg SQ once weekly x 4 weeks | Week 5-8: 5mg once weekly | Week 9-12: 7.5mg once weekly | Week 13-16: 10mg once weekly | Maintenance: 10–15mg once weekly (max 15mg/week)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 weekly protocol. Reassess every 3 months.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a 10mg vial = 5mg/mL. For 2.5mg dose: draw 5 units. For 5mg dose: draw 10 units. For 10mg dose: draw 20 units. Scale proportionally for larger vials.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Unreconstituted: refrigerate 2–8°C. Reconstituted: refrigerate, use within 28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Tirzepatide produces greater weight loss than semaglutide in head-to-head studies. Titrate slowly to minimize GI side effects. Ideal for body recomposition alongside a structured nutrition plan.</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YPB.210 / YPB.234 / YPB.235 / YPB.236</w:t>
      </w:r>
    </w:p>
    <w:p>
      <w:pPr>
        <w:spacing w:after="160" w:before="80"/>
      </w:pPr>
      <w:r>
        <w:rPr>
          <w:b/>
          <w:bCs/>
          <w:color w:val="1A6B8A"/>
          <w:sz w:val="32"/>
          <w:szCs w:val="32"/>
        </w:rPr>
        <w:t xml:space="preserve">Retatrutide (Triple GLP-1/GIP/Glucagon Agonist)</w:t>
      </w:r>
    </w:p>
    <w:p>
      <w:pPr>
        <w:spacing w:after="120" w:before="0"/>
      </w:pPr>
      <w:r>
        <w:rPr>
          <w:i/>
          <w:iCs/>
          <w:color w:val="666666"/>
          <w:sz w:val="20"/>
          <w:szCs w:val="20"/>
        </w:rPr>
        <w:t xml:space="preserve">20mg / 30mg / 40mg / 50mg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Retatrutide is a next-generation triple agonist targeting GLP-1, GIP, and glucagon receptors simultaneously. It produces exceptional fat loss, metabolic rate enhancement, and body composition improvements — making it the most cutting-edge weight optimization peptide currently available.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Starting dose: 2mg SQ once weekly x 4 weeks | Titrate by 2mg every 4 weeks as tolerated | Target maintenance: 8–12mg once weekly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 weekly protocol. Reassess every 3 months.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a 20mg vial = 10mg/mL. For 2mg dose: draw 2 units. For 4mg dose: draw 4 units. For 8mg dose: draw 8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reconstituted vial within 28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Retatrutide's glucagon component enhances resting metabolic rate and liver fat clearance. Exceptional for individuals plateauing on GLP-1 or dual agonist therapy.</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YPB.211 / YPB.219</w:t>
      </w:r>
    </w:p>
    <w:p>
      <w:pPr>
        <w:spacing w:after="160" w:before="80"/>
      </w:pPr>
      <w:r>
        <w:rPr>
          <w:b/>
          <w:bCs/>
          <w:color w:val="1A6B8A"/>
          <w:sz w:val="32"/>
          <w:szCs w:val="32"/>
        </w:rPr>
        <w:t xml:space="preserve">CJC-1295 without DAC (GHRH — Pulsatile)</w:t>
      </w:r>
    </w:p>
    <w:p>
      <w:pPr>
        <w:spacing w:after="120" w:before="0"/>
      </w:pPr>
      <w:r>
        <w:rPr>
          <w:i/>
          <w:iCs/>
          <w:color w:val="666666"/>
          <w:sz w:val="20"/>
          <w:szCs w:val="20"/>
        </w:rPr>
        <w:t xml:space="preserve">Typically 2mg or 5mg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CJC-1295 without DAC is a growth hormone releasing hormone (GHRH) analogue that stimulates your pituitary gland to release growth hormone in a pulsatile, natural pattern. It mirrors your body's own GH release rhythm, supporting fat loss, muscle recovery, sleep quality, and anti-aging benefits.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100–300mcg SQ injection | Frequency: Once daily at bedtime (or twice daily — AM and PM) | Often stacked with Ipamorelin or a GHRP for synergistic GH release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days on / 2 days off, or continuous. Cycle 3–6 months, then 4–8 week break.</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a 2mg vial = 1mg/mL (1000mcg/mL). For 100mcg dose: draw 10 units. For 200mcg dose: draw 20 units. For 300mcg dose: draw 30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Unreconstituted: refrigerate or freeze. Reconstituted: refrigerate, use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Take on an empty stomach for maximum GH release. Avoid carbohydrates or fats 30 minutes before and after injection. Best used before bed to amplify natural GH pulse during sleep.</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YPB.220</w:t>
      </w:r>
    </w:p>
    <w:p>
      <w:pPr>
        <w:spacing w:after="160" w:before="80"/>
      </w:pPr>
      <w:r>
        <w:rPr>
          <w:b/>
          <w:bCs/>
          <w:color w:val="1A6B8A"/>
          <w:sz w:val="32"/>
          <w:szCs w:val="32"/>
        </w:rPr>
        <w:t xml:space="preserve">CJC-1295 with DAC (Long-Acting GHRH)</w:t>
      </w:r>
    </w:p>
    <w:p>
      <w:pPr>
        <w:spacing w:after="120" w:before="0"/>
      </w:pPr>
      <w:r>
        <w:rPr>
          <w:i/>
          <w:iCs/>
          <w:color w:val="666666"/>
          <w:sz w:val="20"/>
          <w:szCs w:val="20"/>
        </w:rPr>
        <w:t xml:space="preserve">Typically 2mg or 5mg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CJC-1295 with DAC (Drug Affinity Complex) is a long-acting GHRH analogue with a half-life of 6–8 days. It provides sustained elevation of growth hormone and IGF-1 levels throughout the week, supporting muscle growth, fat loss, and recovery with once-weekly dosing.</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1–2mg SQ injection once weekly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8–12 week cycles with 4–8 week breaks recommended.</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a 2mg vial = 1mg/mL. For 1mg dose: draw 100 units. For 2mg dose: draw 200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reconstituted vial within 28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Unlike CJC without DAC, this produces continuous rather than pulsatile GH elevation. Some users prefer blending both for pulse + sustained effect. Monitor for water retention or numbness — common at higher doses.</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YPB.212 / YPB.213 / YPB.237</w:t>
      </w:r>
    </w:p>
    <w:p>
      <w:pPr>
        <w:spacing w:after="160" w:before="80"/>
      </w:pPr>
      <w:r>
        <w:rPr>
          <w:b/>
          <w:bCs/>
          <w:color w:val="1A6B8A"/>
          <w:sz w:val="32"/>
          <w:szCs w:val="32"/>
        </w:rPr>
        <w:t xml:space="preserve">BPC-157 (Body Protective Compound)</w:t>
      </w:r>
    </w:p>
    <w:p>
      <w:pPr>
        <w:spacing w:after="120" w:before="0"/>
      </w:pPr>
      <w:r>
        <w:rPr>
          <w:i/>
          <w:iCs/>
          <w:color w:val="666666"/>
          <w:sz w:val="20"/>
          <w:szCs w:val="20"/>
        </w:rPr>
        <w:t xml:space="preserve">Various concentrations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BPC-157 is a 15-amino acid peptide derived from a gastric protein in the human body. It accelerates healing of tendons, ligaments, muscles, and gut tissue, reduces inflammation, and supports nerve repair. It is one of the most versatile healing and recovery peptides available.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Systemic (whole body healing): 250–500mcg SQ injection once daily | Targeted (local injection near injury): 200–300mcg injected near the site | Oral (gut healing): 250–500mcg dissolved in water, taken on empty stomach | Route: Subcutaneous, intramuscular, or oral</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 week cycle, then 2–4 week break. Can be used longer for chronic issues.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a 5mg vial = 2.5mg/mL (2500mcg/mL). For 250mcg dose: draw 10 units. For 500mcg dose: draw 20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reconstituted vial within 14–21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BPC-157 has a remarkable safety profile with no known toxic dose in animal studies. Extremely effective post-surgery, post-injury, or for chronic gut issues like leaky gut or IBS.</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YPB.214 / YPB.215</w:t>
      </w:r>
    </w:p>
    <w:p>
      <w:pPr>
        <w:spacing w:after="160" w:before="80"/>
      </w:pPr>
      <w:r>
        <w:rPr>
          <w:b/>
          <w:bCs/>
          <w:color w:val="1A6B8A"/>
          <w:sz w:val="32"/>
          <w:szCs w:val="32"/>
        </w:rPr>
        <w:t xml:space="preserve">Thymosin Beta-4 (TB-500)</w:t>
      </w:r>
    </w:p>
    <w:p>
      <w:pPr>
        <w:spacing w:after="120" w:before="0"/>
      </w:pPr>
      <w:r>
        <w:rPr>
          <w:i/>
          <w:iCs/>
          <w:color w:val="666666"/>
          <w:sz w:val="20"/>
          <w:szCs w:val="20"/>
        </w:rPr>
        <w:t xml:space="preserve">Various concentrations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TB-500 is a synthetic version of Thymosin Beta-4, a naturally occurring peptide found in virtually all human cells. It promotes healing of muscle, tendon, ligament, skin, and eye tissue by regulating actin — the protein responsible for cell structure and movement.</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Loading phase: 4–8mg SQ twice weekly for 4–6 weeks | Maintenance: 2–4mg SQ once weekly | Route: Subcutaneous injection (can also be injected near injury site)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6–8 week loading cycle, then reduce to maintenance or cycle off for 4 weeks.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a 5mg vial = 2.5mg/mL. For 2mg dose: draw 8 units. For 4mg dose: draw 16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reconstituted vial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TB-500 works exceptionally well when stacked with BPC-157 (the Wolverine Stack). It has systemic effects throughout the body — particularly powerful for chronic injuries, flexibility, and post-surgical recovery.</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YPB.216 / YPB.217</w:t>
      </w:r>
    </w:p>
    <w:p>
      <w:pPr>
        <w:spacing w:after="160" w:before="80"/>
      </w:pPr>
      <w:r>
        <w:rPr>
          <w:b/>
          <w:bCs/>
          <w:color w:val="1A6B8A"/>
          <w:sz w:val="32"/>
          <w:szCs w:val="32"/>
        </w:rPr>
        <w:t xml:space="preserve">BPC-157 + TB-500 Blend (The Wolverine Stack)</w:t>
      </w:r>
    </w:p>
    <w:p>
      <w:pPr>
        <w:spacing w:after="120" w:before="0"/>
      </w:pPr>
      <w:r>
        <w:rPr>
          <w:i/>
          <w:iCs/>
          <w:color w:val="666666"/>
          <w:sz w:val="20"/>
          <w:szCs w:val="20"/>
        </w:rPr>
        <w:t xml:space="preserve">Various concentrations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Wolverine Stack combines BPC-157 and TB-500 in a single vial for maximum synergistic healing. BPC-157 drives local tissue repair and gut healing while TB-500 provides systemic cell migration and regeneration. Together, they represent the gold standard healing protocol.</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250mcg BPC-157 + 2mg TB-500 per injection | Frequency: Once daily (acute injury) or 3x weekly (maintenance/recovery)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 week acute cycle. Can extend to 12 weeks for chronic conditions.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Dose per injection depends on blend concentration — refer to vial label for exact mcg/mg per mL.</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14–21 days of reconstitution.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is the most popular healing stack in peptide therapy. Ideal for athletes, post-surgical patients, and anyone dealing with nagging musculoskeletal injuries.</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YPB.218</w:t>
      </w:r>
    </w:p>
    <w:p>
      <w:pPr>
        <w:spacing w:after="160" w:before="80"/>
      </w:pPr>
      <w:r>
        <w:rPr>
          <w:b/>
          <w:bCs/>
          <w:color w:val="1A6B8A"/>
          <w:sz w:val="32"/>
          <w:szCs w:val="32"/>
        </w:rPr>
        <w:t xml:space="preserve">Triple Healing Blend (BPC-157 + TB-500 + GHK-Cu)</w:t>
      </w:r>
    </w:p>
    <w:p>
      <w:pPr>
        <w:spacing w:after="120" w:before="0"/>
      </w:pPr>
      <w:r>
        <w:rPr>
          <w:i/>
          <w:iCs/>
          <w:color w:val="666666"/>
          <w:sz w:val="20"/>
          <w:szCs w:val="20"/>
        </w:rPr>
        <w:t xml:space="preserve">Various concentrations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advanced triple blend adds GHK-Cu (copper peptide) to the Wolverine Stack for enhanced skin rejuvenation, collagen synthesis, and wound healing. GHK-Cu stimulates collagen and elastin production, reduces inflammation, and promotes skin remodeling.</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Per blend concentration (see vial label) | Frequency: Once daily or 3–5x weekly | Route: Subcutaneous injection or topical (for GHK-Cu component)</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6–8 week cycles.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Check vial label for per-mL breakdown of each component.</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 days of reconstitution.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Excellent for post-surgical skin healing, anti-aging protocols, and full-body recovery. GHK-Cu is particularly powerful for facial skin rejuvenation and hair growth when used topically.</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YPB.222</w:t>
      </w:r>
    </w:p>
    <w:p>
      <w:pPr>
        <w:spacing w:after="160" w:before="80"/>
      </w:pPr>
      <w:r>
        <w:rPr>
          <w:b/>
          <w:bCs/>
          <w:color w:val="1A6B8A"/>
          <w:sz w:val="32"/>
          <w:szCs w:val="32"/>
        </w:rPr>
        <w:t xml:space="preserve">GHK-Cu (Copper Peptide)</w:t>
      </w:r>
    </w:p>
    <w:p>
      <w:pPr>
        <w:spacing w:after="120" w:before="0"/>
      </w:pPr>
      <w:r>
        <w:rPr>
          <w:i/>
          <w:iCs/>
          <w:color w:val="666666"/>
          <w:sz w:val="20"/>
          <w:szCs w:val="20"/>
        </w:rPr>
        <w:t xml:space="preserve">High concentration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GHK-Cu is a naturally occurring copper-binding peptide that declines with age. It activates over 4,000 genes associated with skin regeneration, wound healing, collagen synthesis, and anti-inflammatory pathways. It is a cornerstone of advanced anti-aging therapy.</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Systemic (SQ): 1–2mg SQ injection 3–5x weekly | Topical: Apply reconstituted solution to skin daily | Route: Subcutaneous injection or topical application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 use with periodic breaks every 8–12 weeks.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1–2mL BAC water per vial. For systemic use, calculate units based on resulting concentration.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of the safest and most well-researched anti-aging peptides. Benefits skin elasticity, hair follicle health, wound healing, and even cognitive function with long-term use.</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YPB.225 / YPB.226</w:t>
      </w:r>
    </w:p>
    <w:p>
      <w:pPr>
        <w:spacing w:after="160" w:before="80"/>
      </w:pPr>
      <w:r>
        <w:rPr>
          <w:b/>
          <w:bCs/>
          <w:color w:val="1A6B8A"/>
          <w:sz w:val="32"/>
          <w:szCs w:val="32"/>
        </w:rPr>
        <w:t xml:space="preserve">Bacteriostatic Water (BAC Water)</w:t>
      </w:r>
    </w:p>
    <w:p>
      <w:pPr>
        <w:spacing w:after="120" w:before="0"/>
      </w:pPr>
      <w:r>
        <w:rPr>
          <w:i/>
          <w:iCs/>
          <w:color w:val="666666"/>
          <w:sz w:val="20"/>
          <w:szCs w:val="20"/>
        </w:rPr>
        <w:t xml:space="preserve">3mL / 10mL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Sterile bacteriostatic water contains 0.9% benzyl alcohol, which inhibits bacterial growth. It is the standard diluent used to reconstitute peptides for injection. Do NOT use regular sterile water — BAC water preserves the peptide after reconstitution.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applicable — used for peptide reconstitution only</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a sterile needle and syringe to draw BAC water. Inject slowly into the peptide vial along the side of the glass — do not spray directly onto the powder. Swirl gently, never shake.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 at room temperature or refrigerate. Use within 28 days of opening.</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Always use BAC water, not saline or plain sterile water, for multi-use peptide vials. Use a new sterile needle each time you draw from the vial.</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YPB.227</w:t>
      </w:r>
    </w:p>
    <w:p>
      <w:pPr>
        <w:spacing w:after="160" w:before="80"/>
      </w:pPr>
      <w:r>
        <w:rPr>
          <w:b/>
          <w:bCs/>
          <w:color w:val="1A6B8A"/>
          <w:sz w:val="32"/>
          <w:szCs w:val="32"/>
        </w:rPr>
        <w:t xml:space="preserve">MOTS-c (Mitochondrial Peptide)</w:t>
      </w:r>
    </w:p>
    <w:p>
      <w:pPr>
        <w:spacing w:after="120" w:before="0"/>
      </w:pPr>
      <w:r>
        <w:rPr>
          <w:i/>
          <w:iCs/>
          <w:color w:val="666666"/>
          <w:sz w:val="20"/>
          <w:szCs w:val="20"/>
        </w:rPr>
        <w:t xml:space="preserve">Typically 5mg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MOTS-c is a peptide encoded in mitochondrial DNA that acts as a metabolic regulator. It activates AMPK, enhances insulin sensitivity, promotes fat burning, and has been shown to improve exercise performance and longevity markers at the cellular level.</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5–10mg SQ injection 3–5x weekly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8–12 week cycles with 4–8 week breaks.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1mL BAC water to 5mg vial = 5mg/mL. For 5mg dose: draw 100 units. For 2.5mg dose: draw 50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MOTS-c is best used in conjunction with exercise for synergistic metabolic benefits. Research suggests it may slow cellular aging and improve stress resilience.</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YPB.228</w:t>
      </w:r>
    </w:p>
    <w:p>
      <w:pPr>
        <w:spacing w:after="160" w:before="80"/>
      </w:pPr>
      <w:r>
        <w:rPr>
          <w:b/>
          <w:bCs/>
          <w:color w:val="1A6B8A"/>
          <w:sz w:val="32"/>
          <w:szCs w:val="32"/>
        </w:rPr>
        <w:t xml:space="preserve">Selank (Anti-Anxiety Peptide)</w:t>
      </w:r>
    </w:p>
    <w:p>
      <w:pPr>
        <w:spacing w:after="120" w:before="0"/>
      </w:pPr>
      <w:r>
        <w:rPr>
          <w:i/>
          <w:iCs/>
          <w:color w:val="666666"/>
          <w:sz w:val="20"/>
          <w:szCs w:val="20"/>
        </w:rPr>
        <w:t xml:space="preserve">Typically 5mg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Selank is a synthetic heptapeptide developed in Russia with potent anxiolytic (anti-anxiety) effects. Unlike pharmaceutical anxiolytics, it does not cause sedation, dependency, or cognitive impairment. It modulates GABA and serotonin systems for calm, focused mental states.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250–500mcg intranasally or SQ injection | Frequency: 1–3x daily as needed | Route: Intranasal drops or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be used daily for 4–8 weeks, then cycle off for 2–4 weeks.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5mg vial = 2500mcg/mL. For 250mcg dose: draw 10 units. For 500mcg dose: draw 20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Selank also has nootropic benefits — many users report enhanced memory, improved mood, and increased stress tolerance. Ideal for high-performance individuals managing chronic stress.</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YPB.229</w:t>
      </w:r>
    </w:p>
    <w:p>
      <w:pPr>
        <w:spacing w:after="160" w:before="80"/>
      </w:pPr>
      <w:r>
        <w:rPr>
          <w:b/>
          <w:bCs/>
          <w:color w:val="1A6B8A"/>
          <w:sz w:val="32"/>
          <w:szCs w:val="32"/>
        </w:rPr>
        <w:t xml:space="preserve">Semax (Cognitive Enhancer)</w:t>
      </w:r>
    </w:p>
    <w:p>
      <w:pPr>
        <w:spacing w:after="120" w:before="0"/>
      </w:pPr>
      <w:r>
        <w:rPr>
          <w:i/>
          <w:iCs/>
          <w:color w:val="666666"/>
          <w:sz w:val="20"/>
          <w:szCs w:val="20"/>
        </w:rPr>
        <w:t xml:space="preserve">Typically 5mg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Semax is a synthetic ACTH analogue that enhances brain-derived neurotrophic factor (BDNF), dopamine, and serotonin activity. It improves memory formation, focus, neuroprotection, and mental clarity. Originally developed for stroke recovery, it is now widely used for cognitive optimization.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200–600mcg intranasally or SQ injection | Frequency: 1–2x daily | Route: Intranasal (most common) or subcutaneous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week cycles, followed by equal off period.</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5mg vial = 2500mcg/mL. For 200mcg dose: draw 8 units. For 500mcg dose: draw 20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used in the morning for cognitive enhancement. Semax may increase dopamine sensitivity — cycle appropriately. Stacks well with Selank for a calming yet focused cognitive state.</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YPB.230</w:t>
      </w:r>
    </w:p>
    <w:p>
      <w:pPr>
        <w:spacing w:after="160" w:before="80"/>
      </w:pPr>
      <w:r>
        <w:rPr>
          <w:b/>
          <w:bCs/>
          <w:color w:val="1A6B8A"/>
          <w:sz w:val="32"/>
          <w:szCs w:val="32"/>
        </w:rPr>
        <w:t xml:space="preserve">DSIP (Delta Sleep-Inducing Peptide)</w:t>
      </w:r>
    </w:p>
    <w:p>
      <w:pPr>
        <w:spacing w:after="120" w:before="0"/>
      </w:pPr>
      <w:r>
        <w:rPr>
          <w:i/>
          <w:iCs/>
          <w:color w:val="666666"/>
          <w:sz w:val="20"/>
          <w:szCs w:val="20"/>
        </w:rPr>
        <w:t xml:space="preserve">15mg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DSIP is a naturally occurring neuropeptide that promotes deep delta-wave sleep. It normalizes sleep architecture, reduces cortisol, improves stress tolerance, and has been studied for its role in regulating hormonal release during sleep — including growth hormone.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100–300mcg SQ injection before bed | Frequency: Nightly or as needed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nightly for 2–4 weeks, then take 1–2 week break.</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3mL BAC water to 15mg vial = 5mg/mL (5000mcg/mL). For 100mcg dose: draw 2 units. For 300mcg dose: draw 6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DSIP is non-habit forming and does not cause grogginess. It works best in a dark, quiet environment. Pairs well with CJC-1295 at bedtime for a powerful GH + sleep optimization protocol.</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YPB.231</w:t>
      </w:r>
    </w:p>
    <w:p>
      <w:pPr>
        <w:spacing w:after="160" w:before="80"/>
      </w:pPr>
      <w:r>
        <w:rPr>
          <w:b/>
          <w:bCs/>
          <w:color w:val="1A6B8A"/>
          <w:sz w:val="32"/>
          <w:szCs w:val="32"/>
        </w:rPr>
        <w:t xml:space="preserve">Thymosin Alpha-1 (Thymic Peptide)</w:t>
      </w:r>
    </w:p>
    <w:p>
      <w:pPr>
        <w:spacing w:after="120" w:before="0"/>
      </w:pPr>
      <w:r>
        <w:rPr>
          <w:i/>
          <w:iCs/>
          <w:color w:val="666666"/>
          <w:sz w:val="20"/>
          <w:szCs w:val="20"/>
        </w:rPr>
        <w:t xml:space="preserve">Typically 5mg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Thymosin Alpha-1 is a naturally occurring thymic peptide that modulates the immune system by activating T-cells, dendritic cells, and NK cells. It is used for immune optimization, chronic infections, autoimmune modulation, and post-illness recovery.</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1.5mg SQ injection 2x weekly | Immune optimization: 900mcg–1.5mg 2x weekly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6–12 week cycles. Can be used continuously for chronic immune issues under provider supervision.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1mL BAC water to 5mg vial = 5mg/mL. For 1.5mg dose: draw 30 units. For 900mcg dose: draw 18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Thymosin Alpha-1 is FDA-approved in over 35 countries for hepatitis and immune deficiency. Extremely well-tolerated with no known significant side effects. Excellent for frequent illness, immunosuppression, or chronic Lyme/EBV.</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YPB.232</w:t>
      </w:r>
    </w:p>
    <w:p>
      <w:pPr>
        <w:spacing w:after="160" w:before="80"/>
      </w:pPr>
      <w:r>
        <w:rPr>
          <w:b/>
          <w:bCs/>
          <w:color w:val="1A6B8A"/>
          <w:sz w:val="32"/>
          <w:szCs w:val="32"/>
        </w:rPr>
        <w:t xml:space="preserve">Epitalon (Telomerase Activator)</w:t>
      </w:r>
    </w:p>
    <w:p>
      <w:pPr>
        <w:spacing w:after="120" w:before="0"/>
      </w:pPr>
      <w:r>
        <w:rPr>
          <w:i/>
          <w:iCs/>
          <w:color w:val="666666"/>
          <w:sz w:val="20"/>
          <w:szCs w:val="20"/>
        </w:rPr>
        <w:t xml:space="preserve">Typically 10mg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Epitalon is a tetrapeptide that activates telomerase, the enzyme responsible for maintaining and lengthening telomeres — the protective caps on chromosomes that shorten with age. Longer telomeres are associated with cellular longevity and reduced age-related decline.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5–10mg SQ or IV injection daily | Frequency: Daily for 10–20 day cycles | Route: Subcutaneous injection or IV</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10–20 day intensive cycle, 2–4x per year.</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10mg vial = 5mg/mL. For 5mg dose: draw 10 units. For 10mg dose: draw 20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Epitalon is one of the most researched longevity peptides with over 100 published studies. Benefits include improved melatonin production, enhanced sleep, hormonal normalization, and reduced cancer markers in aging populations.</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YPB.233</w:t>
      </w:r>
    </w:p>
    <w:p>
      <w:pPr>
        <w:spacing w:after="160" w:before="80"/>
      </w:pPr>
      <w:r>
        <w:rPr>
          <w:b/>
          <w:bCs/>
          <w:color w:val="1A6B8A"/>
          <w:sz w:val="32"/>
          <w:szCs w:val="32"/>
        </w:rPr>
        <w:t xml:space="preserve">Follistatin-344 (Myostatin Inhibitor)</w:t>
      </w:r>
    </w:p>
    <w:p>
      <w:pPr>
        <w:spacing w:after="120" w:before="0"/>
      </w:pPr>
      <w:r>
        <w:rPr>
          <w:i/>
          <w:iCs/>
          <w:color w:val="666666"/>
          <w:sz w:val="20"/>
          <w:szCs w:val="20"/>
        </w:rPr>
        <w:t xml:space="preserve">Typically 1mg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Follistatin-344 inhibits myostatin, the body's natural muscle growth limiter. By suppressing myostatin, it allows significantly greater muscle fiber development, improved strength, and enhanced body composition. It also suppresses FSH and has applications in fertility modulation.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100mcg SQ injection daily | Route: Subcutaneous injection (inject near target muscle groups for localized effect) | Frequency: Daily for the duration of cycle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10–30 day cycle. Longer cycles should be used with caution.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1mL BAC water to 1mg vial = 1mg/mL (1000mcg/mL). For 100mcg dose: draw 10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Follistatin-344 is one of the most potent natural muscle-building peptides. Results are best when combined with progressive resistance training and adequate protein intake. Note: it may temporarily suppress FSH — not recommended for those trying to conceive.</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YPB.238</w:t>
      </w:r>
    </w:p>
    <w:p>
      <w:pPr>
        <w:spacing w:after="160" w:before="80"/>
      </w:pPr>
      <w:r>
        <w:rPr>
          <w:b/>
          <w:bCs/>
          <w:color w:val="1A6B8A"/>
          <w:sz w:val="32"/>
          <w:szCs w:val="32"/>
        </w:rPr>
        <w:t xml:space="preserve">CJC-1295 + Ipamorelin Blend (GH Optimization Stack)</w:t>
      </w:r>
    </w:p>
    <w:p>
      <w:pPr>
        <w:spacing w:after="120" w:before="0"/>
      </w:pPr>
      <w:r>
        <w:rPr>
          <w:i/>
          <w:iCs/>
          <w:color w:val="666666"/>
          <w:sz w:val="20"/>
          <w:szCs w:val="20"/>
        </w:rPr>
        <w:t xml:space="preserve">Typically 5mg blend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synergistic blend combines CJC-1295 (GHRH) with Ipamorelin (GHRP) for maximal growth hormone release. CJC-1295 increases the amplitude of GH pulses while Ipamorelin amplifies the frequency — together producing significantly greater GH output than either alone.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100–300mcg CJC-1295 + 100–300mcg Ipamorelin per injection | Frequency: Once daily at bedtime (or 2x daily — AM fasted and bedtime)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3–6 month continuous cycle. 4–8 week break recommended thereafter.</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blend vial. Resulting concentration depends on blend ratio — check vial label. Typically 100mcg/component per 10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is the most popular GH optimization protocol. Best used on an empty stomach before bed to synchronize with your natural GH pulse. Expect improved sleep quality, body composition, recovery, and skin tone within 4–8 weeks.</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YPB.239 / YPB.240</w:t>
      </w:r>
    </w:p>
    <w:p>
      <w:pPr>
        <w:spacing w:after="160" w:before="80"/>
      </w:pPr>
      <w:r>
        <w:rPr>
          <w:b/>
          <w:bCs/>
          <w:color w:val="1A6B8A"/>
          <w:sz w:val="32"/>
          <w:szCs w:val="32"/>
        </w:rPr>
        <w:t xml:space="preserve">Cagrilintide + Semaglutide (CagriSema — Dual Amylin + GLP-1)</w:t>
      </w:r>
    </w:p>
    <w:p>
      <w:pPr>
        <w:spacing w:after="120" w:before="0"/>
      </w:pPr>
      <w:r>
        <w:rPr>
          <w:i/>
          <w:iCs/>
          <w:color w:val="666666"/>
          <w:sz w:val="20"/>
          <w:szCs w:val="20"/>
        </w:rPr>
        <w:t xml:space="preserve">Starter and maintenance dose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CagriSema combines cagrilintide (a long-acting amylin analogue) with semaglutide (GLP-1 agonist) for enhanced weight management beyond GLP-1 alone. Amylin slows gastric emptying, reduces glucagon, and promotes satiety via different neural pathways than GLP-1, producing additive weight loss.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Starter: 0.16mg cagrilintide + 0.25mg semaglutide once weekly | Titrate every 4 weeks per tolerance | Target: Up to 2.4mg cagrilintide + 2.4mg semaglutide weekly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 weekly protocol. Reassess every 3 months.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Refer to vial label for per-unit concentration of each component.</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28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CagriSema is showing superior weight loss results in clinical trials compared to semaglutide alone — up to 15–22% body weight reduction. Ideal for those who have plateaued on GLP-1 monotherapy.</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YPB.241</w:t>
      </w:r>
    </w:p>
    <w:p>
      <w:pPr>
        <w:spacing w:after="160" w:before="80"/>
      </w:pPr>
      <w:r>
        <w:rPr>
          <w:b/>
          <w:bCs/>
          <w:color w:val="1A6B8A"/>
          <w:sz w:val="32"/>
          <w:szCs w:val="32"/>
        </w:rPr>
        <w:t xml:space="preserve">Cagrilintide (Long-Acting Amylin Analogue)</w:t>
      </w:r>
    </w:p>
    <w:p>
      <w:pPr>
        <w:spacing w:after="120" w:before="0"/>
      </w:pPr>
      <w:r>
        <w:rPr>
          <w:i/>
          <w:iCs/>
          <w:color w:val="666666"/>
          <w:sz w:val="20"/>
          <w:szCs w:val="20"/>
        </w:rPr>
        <w:t xml:space="preserve">Typically available in multiple dose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Cagrilintide is a long-acting synthetic amylin analogue. Amylin is co-secreted with insulin and plays a crucial role in satiety, gastric emptying, and glucagon suppression. Cagrilintide provides sustained appetite reduction and metabolic regulation independent of GLP-1 pathways.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Starting dose: 0.16mg SQ once weekly | Titrate every 4 weeks: 0.3mg → 0.6mg → 1.2mg → 2.4mg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 weekly protocol.</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vial. Calculate units based on resulting mg/mL concentration.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28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Cagrilintide can be used as standalone therapy or combined with GLP-1 agonists for additive weight loss. Well-tolerated with primary side effects of mild nausea during titration.</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YPB.242 / YPB.247</w:t>
      </w:r>
    </w:p>
    <w:p>
      <w:pPr>
        <w:spacing w:after="160" w:before="80"/>
      </w:pPr>
      <w:r>
        <w:rPr>
          <w:b/>
          <w:bCs/>
          <w:color w:val="1A6B8A"/>
          <w:sz w:val="32"/>
          <w:szCs w:val="32"/>
        </w:rPr>
        <w:t xml:space="preserve">AICAR (AMPK Activator)</w:t>
      </w:r>
    </w:p>
    <w:p>
      <w:pPr>
        <w:spacing w:after="120" w:before="0"/>
      </w:pPr>
      <w:r>
        <w:rPr>
          <w:i/>
          <w:iCs/>
          <w:color w:val="666666"/>
          <w:sz w:val="20"/>
          <w:szCs w:val="20"/>
        </w:rPr>
        <w:t xml:space="preserve">Low and high concentration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AICAR (5-Aminoimidazole-4-carboxamide ribonucleotide) is an AMPK activator that mimics the metabolic effects of exercise at the cellular level. It enhances glucose uptake, promotes fat oxidation, improves insulin sensitivity, and increases mitochondrial biogenesis — even without physical exercise.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10–20mg/kg body weight SQ daily | For a 80kg individual: 500–1000mg daily | Route: Subcutaneous injection | Frequency: Daily for duration of cycle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 week cycles with breaks between.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sterile or BAC water per manufacturer recommendation. Typically 100–500mg/mL concentration. Calculate units accordingly.</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AICAR is sometimes called the 'exercise pill.' Most effective when combined with actual physical activity. Research shows significant improvements in endurance capacity and fat loss even at rest.</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YPB.243</w:t>
      </w:r>
    </w:p>
    <w:p>
      <w:pPr>
        <w:spacing w:after="160" w:before="80"/>
      </w:pPr>
      <w:r>
        <w:rPr>
          <w:b/>
          <w:bCs/>
          <w:color w:val="1A6B8A"/>
          <w:sz w:val="32"/>
          <w:szCs w:val="32"/>
        </w:rPr>
        <w:t xml:space="preserve">GW501516 / Cardarine (Exercise Mimetic)</w:t>
      </w:r>
    </w:p>
    <w:p>
      <w:pPr>
        <w:spacing w:after="120" w:before="0"/>
      </w:pPr>
      <w:r>
        <w:rPr>
          <w:i/>
          <w:iCs/>
          <w:color w:val="666666"/>
          <w:sz w:val="20"/>
          <w:szCs w:val="20"/>
        </w:rPr>
        <w:t xml:space="preserve">Typically oral solution or injectable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Cardarine (GW501516) is a PPARdelta agonist that dramatically enhances endurance, fat burning, and metabolic efficiency. It activates genes responsible for fatty acid oxidation, improving cardiovascular performance and body composition without stimulant effects.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10–20mg daily | Route: Oral (liquid form) or subcutaneous injection | Frequency: Once daily, preferably 30–60 min before exercise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week maximum cycle. Mandatory 8+ week break between cycles.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powder form: dissolve in appropriate carrier. Injectable: add BAC water per label instructions.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 per label. Keep away from heat and light.</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Important note: Cardarine was discontinued in pharmaceutical development due to tumor promotion findings in animal studies at very high doses and long durations. Use at lowest effective dose for shortest effective cycle. Not recommended for individuals with personal or family history of cancer.</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YPB.244</w:t>
      </w:r>
    </w:p>
    <w:p>
      <w:pPr>
        <w:spacing w:after="160" w:before="80"/>
      </w:pPr>
      <w:r>
        <w:rPr>
          <w:b/>
          <w:bCs/>
          <w:color w:val="1A6B8A"/>
          <w:sz w:val="32"/>
          <w:szCs w:val="32"/>
        </w:rPr>
        <w:t xml:space="preserve">LL-37 (Human Antimicrobial Peptide)</w:t>
      </w:r>
    </w:p>
    <w:p>
      <w:pPr>
        <w:spacing w:after="120" w:before="0"/>
      </w:pPr>
      <w:r>
        <w:rPr>
          <w:i/>
          <w:iCs/>
          <w:color w:val="666666"/>
          <w:sz w:val="20"/>
          <w:szCs w:val="20"/>
        </w:rPr>
        <w:t xml:space="preserve">Typically 1–5mg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LL-37 is the only known human cathelicidin antimicrobial peptide. It provides broad-spectrum defense against bacteria, viruses, and fungi while also modulating immune responses and promoting wound healing. It plays a critical role in the innate immune system.</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100–300mcg SQ injection daily | Wound healing: Apply topically or inject locally | Route: Subcutaneous injection or topical</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week cycles for acute immune support. Can be extended for chronic conditions.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1–2mL BAC water. For 100mcg dose from 1mg/mL solution: draw 10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LL-37 has shown promise in chronic wound healing, respiratory infections, and autoimmune modulation. It may cause mild injection site irritation — rotate sites regularly.</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YPB.245 / YPB.246</w:t>
      </w:r>
    </w:p>
    <w:p>
      <w:pPr>
        <w:spacing w:after="160" w:before="80"/>
      </w:pPr>
      <w:r>
        <w:rPr>
          <w:b/>
          <w:bCs/>
          <w:color w:val="1A6B8A"/>
          <w:sz w:val="32"/>
          <w:szCs w:val="32"/>
        </w:rPr>
        <w:t xml:space="preserve">SS-31 / Elamipretide (Mitochondrial Antioxidant)</w:t>
      </w:r>
    </w:p>
    <w:p>
      <w:pPr>
        <w:spacing w:after="120" w:before="0"/>
      </w:pPr>
      <w:r>
        <w:rPr>
          <w:i/>
          <w:iCs/>
          <w:color w:val="666666"/>
          <w:sz w:val="20"/>
          <w:szCs w:val="20"/>
        </w:rPr>
        <w:t xml:space="preserve">Low and high concentration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SS-31 (Elamipretide) is a mitochondria-targeted antioxidant peptide that protects the inner mitochondrial membrane, reduces oxidative stress, and dramatically improves cellular energy production. It is one of the most promising anti-aging and performance optimization peptides in research.</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1–3mg SQ injection daily | Performance/anti-aging: 2mg daily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 week cycles. Can be used longer under supervision.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1–2mL BAC water per vial. For 1mg dose from 1mg/mL: draw 100 units. For 2mg dose: draw 200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 days. Protect from light.</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SS-31 has shown remarkable results in heart failure, kidney disease, and age-related muscle decline in clinical trials. For wellness users, expect improved energy, exercise recovery, and cognitive clarity within 2–4 weeks.</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YPB.248</w:t>
      </w:r>
    </w:p>
    <w:p>
      <w:pPr>
        <w:spacing w:after="160" w:before="80"/>
      </w:pPr>
      <w:r>
        <w:rPr>
          <w:b/>
          <w:bCs/>
          <w:color w:val="1A6B8A"/>
          <w:sz w:val="32"/>
          <w:szCs w:val="32"/>
        </w:rPr>
        <w:t xml:space="preserve">HGH Fragment 176-191 (Targeted Fat Loss)</w:t>
      </w:r>
    </w:p>
    <w:p>
      <w:pPr>
        <w:spacing w:after="120" w:before="0"/>
      </w:pPr>
      <w:r>
        <w:rPr>
          <w:i/>
          <w:iCs/>
          <w:color w:val="666666"/>
          <w:sz w:val="20"/>
          <w:szCs w:val="20"/>
        </w:rPr>
        <w:t xml:space="preserve">Typically 2–5mg vials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HGH Fragment 176-191 is a modified segment of human growth hormone that retains its fat-burning (lipolytic) properties without affecting blood sugar or IGF-1 levels. It directly stimulates fat breakdown and inhibits lipogenesis (new fat formation), making it ideal for targeted fat loss without GH side effects.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250–500mcg SQ injection | Frequency: 2x daily — once in the morning fasted, and once 30 min before exercise | Route: Subcutaneous injection (inject near stubborn fat deposits for best results)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8–12 week cycles with 4 week breaks.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2mL BAC water to a 2mg vial = 1mg/mL (1000mcg/mL). For 250mcg dose: draw 25 units. For 500mcg dose: draw 50 units.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21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Most effective when injected fasted and combined with a low-carb or fasted cardio protocol. Does not affect blood glucose — safe for individuals concerned about insulin resistance.</w:t>
            </w:r>
          </w:p>
        </w:tc>
      </w:tr>
    </w:tbl>
    <w:p>
      <w:pPr>
        <w:spacing w:after="120" w:before="120"/>
      </w:pPr>
      <w:r>
        <w:t xml:space="preserve"/>
      </w:r>
    </w:p>
    <w:p>
      <w:r>
        <w:br w:type="page"/>
      </w:r>
    </w:p>
    <w:p>
      <w:pPr>
        <w:pBdr>
          <w:bottom w:val="single" w:color="1A6B8A" w:sz="3" w:space="1"/>
        </w:pBdr>
        <w:spacing w:after="120" w:before="240"/>
      </w:pPr>
      <w:r>
        <w:rPr>
          <w:b/>
          <w:bCs/>
          <w:color w:val="1A6B8A"/>
          <w:sz w:val="28"/>
          <w:szCs w:val="28"/>
        </w:rPr>
        <w:t xml:space="preserve">YPB.249</w:t>
      </w:r>
    </w:p>
    <w:p>
      <w:pPr>
        <w:spacing w:after="160" w:before="80"/>
      </w:pPr>
      <w:r>
        <w:rPr>
          <w:b/>
          <w:bCs/>
          <w:color w:val="1A6B8A"/>
          <w:sz w:val="32"/>
          <w:szCs w:val="32"/>
        </w:rPr>
        <w:t xml:space="preserve">ACE-031 (Activin Receptor Decoy — Myostatin Trap)</w:t>
      </w:r>
    </w:p>
    <w:p>
      <w:pPr>
        <w:spacing w:after="120" w:before="0"/>
      </w:pPr>
      <w:r>
        <w:rPr>
          <w:i/>
          <w:iCs/>
          <w:color w:val="666666"/>
          <w:sz w:val="20"/>
          <w:szCs w:val="20"/>
        </w:rPr>
        <w:t xml:space="preserve">Typically 1mg vial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What It 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ACE-031 is a fusion protein that acts as a decoy activin receptor, trapping and neutralizing myostatin and other negative regulators of muscle growth. It produces significant increases in lean muscle mass and represents the most powerful natural muscle-building agent available.</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Dosing Protocol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dose: 1–3mg/kg every 2 weeks SQ injection | For 80kg individual: 80–240mg per injection (every 2 weeks) | Route: Subcutaneous injection</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Cycle 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for 3–6 month periods. Monitor closely.</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Reconstitution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1mL sterile or BAC water to 1mg vial = 1mg/mL. Scale dose volume based on body weight.</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Refrigerate 2–8°C. Use within 14 days.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Key Notes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ACE-031 showed exceptional muscle-building results in clinical trials for muscular dystrophy. For wellness users, combine with progressive resistance training for maximum lean mass gains. Monitor for nosebleeds, telangiectasias, or gum bleeding — these are known side effects at higher doses.</w:t>
            </w:r>
          </w:p>
        </w:tc>
      </w:tr>
    </w:tbl>
    <w:p>
      <w:pPr>
        <w:spacing w:after="12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6B8A"/>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2E8B57"/>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2026-04-08T16:43:18.177Z</dcterms:created>
  <dcterms:modified xsi:type="dcterms:W3CDTF">2026-04-08T16:43:18.178Z</dcterms:modified>
</cp:coreProperties>
</file>

<file path=docProps/custom.xml><?xml version="1.0" encoding="utf-8"?>
<Properties xmlns="http://schemas.openxmlformats.org/officeDocument/2006/custom-properties" xmlns:vt="http://schemas.openxmlformats.org/officeDocument/2006/docPropsVTypes"/>
</file>