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每日投资市场日报 | 2026-05-21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本文档由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飞书 aily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创建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核心摘要</w:t>
            </w:r>
            <w:r>
              <w:rPr>
                <w:rFonts w:eastAsia="等线" w:ascii="Arial" w:cs="Arial" w:hAnsi="Arial"/>
                <w:sz w:val="22"/>
              </w:rPr>
              <w:t>：2026年5月21日A股上演“冲高回落”行情，上证指数最高冲至</w:t>
            </w:r>
            <w:r>
              <w:rPr>
                <w:rFonts w:eastAsia="等线" w:ascii="Arial" w:cs="Arial" w:hAnsi="Arial"/>
                <w:b w:val="true"/>
                <w:sz w:val="22"/>
              </w:rPr>
              <w:t>4199.53点</w:t>
            </w:r>
            <w:r>
              <w:rPr>
                <w:rFonts w:eastAsia="等线" w:ascii="Arial" w:cs="Arial" w:hAnsi="Arial"/>
                <w:sz w:val="22"/>
              </w:rPr>
              <w:t>后快速跳水，最终微跌0.18%，收于4162.37点，日线收出长上影线。两市成交额维持近</w:t>
            </w:r>
            <w:r>
              <w:rPr>
                <w:rFonts w:eastAsia="等线" w:ascii="Arial" w:cs="Arial" w:hAnsi="Arial"/>
                <w:b w:val="true"/>
                <w:sz w:val="22"/>
              </w:rPr>
              <w:t>3万亿</w:t>
            </w:r>
            <w:r>
              <w:rPr>
                <w:rFonts w:eastAsia="等线" w:ascii="Arial" w:cs="Arial" w:hAnsi="Arial"/>
                <w:sz w:val="22"/>
              </w:rPr>
              <w:t>高位，但超4400只个股下跌，市场分化加剧。北向资金结束连续流入态势，全天净流出</w:t>
            </w:r>
            <w:r>
              <w:rPr>
                <w:rFonts w:eastAsia="等线" w:ascii="Arial" w:cs="Arial" w:hAnsi="Arial"/>
                <w:b w:val="true"/>
                <w:sz w:val="22"/>
              </w:rPr>
              <w:t>45.8亿元</w:t>
            </w:r>
            <w:r>
              <w:rPr>
                <w:rFonts w:eastAsia="等线" w:ascii="Arial" w:cs="Arial" w:hAnsi="Arial"/>
                <w:sz w:val="22"/>
              </w:rPr>
              <w:t>。美股方面，受美伊谈判缓和等利好提振，三大指数隔夜收涨，英伟达发布超预期财报但盘后走弱。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一、今日市场概览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A股主要指数表现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今日（5月21日）A股上演“冲高回落”行情，早盘高开冲高，午后震荡回落，最终三大指数涨跌互现：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收盘点位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涨跌幅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上证指数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4162.37点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-0.18%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深证成指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15569.98点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接近平盘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创业板指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3921.79点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+0.34%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科创50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盘中创历史新高后回落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日内振幅大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成交量</w:t>
      </w:r>
      <w:r>
        <w:rPr>
          <w:rFonts w:eastAsia="等线" w:ascii="Arial" w:cs="Arial" w:hAnsi="Arial"/>
          <w:sz w:val="22"/>
        </w:rPr>
        <w:t>：两市成交额约</w:t>
      </w:r>
      <w:r>
        <w:rPr>
          <w:rFonts w:eastAsia="等线" w:ascii="Arial" w:cs="Arial" w:hAnsi="Arial"/>
          <w:b w:val="true"/>
          <w:sz w:val="22"/>
        </w:rPr>
        <w:t>2.99-3万亿元</w:t>
      </w:r>
      <w:r>
        <w:rPr>
          <w:rFonts w:eastAsia="等线" w:ascii="Arial" w:cs="Arial" w:hAnsi="Arial"/>
          <w:sz w:val="22"/>
        </w:rPr>
        <w:t>，连续20天突破2.5万亿，市场资金活跃度高。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个股表现</w:t>
      </w:r>
      <w:r>
        <w:rPr>
          <w:rFonts w:eastAsia="等线" w:ascii="Arial" w:cs="Arial" w:hAnsi="Arial"/>
          <w:sz w:val="22"/>
        </w:rPr>
        <w:t>：早盘约</w:t>
      </w:r>
      <w:r>
        <w:rPr>
          <w:rFonts w:eastAsia="等线" w:ascii="Arial" w:cs="Arial" w:hAnsi="Arial"/>
          <w:b w:val="true"/>
          <w:sz w:val="22"/>
        </w:rPr>
        <w:t>3373只个股上涨</w:t>
      </w:r>
      <w:r>
        <w:rPr>
          <w:rFonts w:eastAsia="等线" w:ascii="Arial" w:cs="Arial" w:hAnsi="Arial"/>
          <w:sz w:val="22"/>
        </w:rPr>
        <w:t>，午后反转，全日</w:t>
      </w:r>
      <w:r>
        <w:rPr>
          <w:rFonts w:eastAsia="等线" w:ascii="Arial" w:cs="Arial" w:hAnsi="Arial"/>
          <w:b w:val="true"/>
          <w:sz w:val="22"/>
        </w:rPr>
        <w:t>超4400只个股下跌</w:t>
      </w:r>
      <w:r>
        <w:rPr>
          <w:rFonts w:eastAsia="等线" w:ascii="Arial" w:cs="Arial" w:hAnsi="Arial"/>
          <w:sz w:val="22"/>
        </w:rPr>
        <w:t>，个股极致分化。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市场特征</w:t>
      </w:r>
      <w:r>
        <w:rPr>
          <w:rFonts w:eastAsia="等线" w:ascii="Arial" w:cs="Arial" w:hAnsi="Arial"/>
          <w:sz w:val="22"/>
        </w:rPr>
        <w:t>：早盘高开高走，上证最高冲至</w:t>
      </w:r>
      <w:r>
        <w:rPr>
          <w:rFonts w:eastAsia="等线" w:ascii="Arial" w:cs="Arial" w:hAnsi="Arial"/>
          <w:b w:val="true"/>
          <w:sz w:val="22"/>
        </w:rPr>
        <w:t>4199.53点</w:t>
      </w:r>
      <w:r>
        <w:rPr>
          <w:rFonts w:eastAsia="等线" w:ascii="Arial" w:cs="Arial" w:hAnsi="Arial"/>
          <w:sz w:val="22"/>
        </w:rPr>
        <w:t>，午后快速跳水，长上影线收盘，赚钱效应明显减弱。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美股主要指数表现（5月20日收盘 / 盘后）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收盘点位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涨跌幅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道琼斯工业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50009.35点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+1.31%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标普500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7432.97点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+1.08%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纳斯达克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26270.36点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+1.54%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费城半导体指数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+4.5%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：美伊谈判传来缓和信号，地缘风险缓解，油价大跌，全球风险偏好提升。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英伟达</w:t>
      </w:r>
      <w:r>
        <w:rPr>
          <w:rFonts w:eastAsia="等线" w:ascii="Arial" w:cs="Arial" w:hAnsi="Arial"/>
          <w:sz w:val="22"/>
        </w:rPr>
        <w:t>：Q1营收同比增</w:t>
      </w:r>
      <w:r>
        <w:rPr>
          <w:rFonts w:eastAsia="等线" w:ascii="Arial" w:cs="Arial" w:hAnsi="Arial"/>
          <w:b w:val="true"/>
          <w:sz w:val="22"/>
        </w:rPr>
        <w:t>85%至816.2亿美元</w:t>
      </w:r>
      <w:r>
        <w:rPr>
          <w:rFonts w:eastAsia="等线" w:ascii="Arial" w:cs="Arial" w:hAnsi="Arial"/>
          <w:sz w:val="22"/>
        </w:rPr>
        <w:t>，数据超预期但盘后股价震荡（跌约2%）。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纳指中国金龙指数</w:t>
      </w:r>
      <w:r>
        <w:rPr>
          <w:rFonts w:eastAsia="等线" w:ascii="Arial" w:cs="Arial" w:hAnsi="Arial"/>
          <w:sz w:val="22"/>
        </w:rPr>
        <w:t>：收跌0.44%，中概股分化。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二、市场资讯（按重要性排列）</w:t>
      </w:r>
      <w:bookmarkEnd w:id="3"/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</w:t>
            </w:r>
            <w:r>
              <w:rPr>
                <w:rFonts w:eastAsia="等线" w:ascii="Arial" w:cs="Arial" w:hAnsi="Arial"/>
                <w:sz w:val="22"/>
              </w:rPr>
              <w:t>：三部委深夜重磅政策密集出台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：今日头条（2026-05-21）</w:t>
      </w:r>
      <w:hyperlink r:id="rId6">
        <w:r>
          <w:rPr>
            <w:rFonts w:eastAsia="等线" w:ascii="Arial" w:cs="Arial" w:hAnsi="Arial"/>
            <w:color w:val="3370ff"/>
            <w:sz w:val="22"/>
          </w:rPr>
          <w:t>[30]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央行、工信部、国资委三部门于5月20日晚间连发利好：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央行科创再贷款扩容至1.2万亿</w:t>
      </w:r>
      <w:r>
        <w:rPr>
          <w:rFonts w:eastAsia="等线" w:ascii="Arial" w:cs="Arial" w:hAnsi="Arial"/>
          <w:sz w:val="22"/>
        </w:rPr>
        <w:t>：从8000亿大幅扩容至1.2万亿，新增</w:t>
      </w:r>
      <w:r>
        <w:rPr>
          <w:rFonts w:eastAsia="等线" w:ascii="Arial" w:cs="Arial" w:hAnsi="Arial"/>
          <w:b w:val="true"/>
          <w:sz w:val="22"/>
        </w:rPr>
        <w:t>4000亿额度</w:t>
      </w:r>
      <w:r>
        <w:rPr>
          <w:rFonts w:eastAsia="等线" w:ascii="Arial" w:cs="Arial" w:hAnsi="Arial"/>
          <w:sz w:val="22"/>
        </w:rPr>
        <w:t>，定向支持半导体、AI、高端制造等14大硬科技领域。此前8000亿额度已撬动超2万亿产业投资，新增4000亿预计再带动</w:t>
      </w:r>
      <w:r>
        <w:rPr>
          <w:rFonts w:eastAsia="等线" w:ascii="Arial" w:cs="Arial" w:hAnsi="Arial"/>
          <w:b w:val="true"/>
          <w:sz w:val="22"/>
        </w:rPr>
        <w:t>1.5万亿产业资金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中美AI治理对话落地</w:t>
      </w:r>
      <w:r>
        <w:rPr>
          <w:rFonts w:eastAsia="等线" w:ascii="Arial" w:cs="Arial" w:hAnsi="Arial"/>
          <w:sz w:val="22"/>
        </w:rPr>
        <w:t>：外交部确认，中美就AI治理达成共识，建立政府间对话机制，科技地缘风险缓解，半导体、AI企业海外合作空间打开。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上市公司回购潮加码</w:t>
      </w:r>
      <w:r>
        <w:rPr>
          <w:rFonts w:eastAsia="等线" w:ascii="Arial" w:cs="Arial" w:hAnsi="Arial"/>
          <w:sz w:val="22"/>
        </w:rPr>
        <w:t>：截至5月20日，今年已有</w:t>
      </w:r>
      <w:r>
        <w:rPr>
          <w:rFonts w:eastAsia="等线" w:ascii="Arial" w:cs="Arial" w:hAnsi="Arial"/>
          <w:b w:val="true"/>
          <w:sz w:val="22"/>
        </w:rPr>
        <w:t>1500家上市公司</w:t>
      </w:r>
      <w:r>
        <w:rPr>
          <w:rFonts w:eastAsia="等线" w:ascii="Arial" w:cs="Arial" w:hAnsi="Arial"/>
          <w:sz w:val="22"/>
        </w:rPr>
        <w:t>发布回购公告，实际回购金额超</w:t>
      </w:r>
      <w:r>
        <w:rPr>
          <w:rFonts w:eastAsia="等线" w:ascii="Arial" w:cs="Arial" w:hAnsi="Arial"/>
          <w:b w:val="true"/>
          <w:sz w:val="22"/>
        </w:rPr>
        <w:t>600亿</w:t>
      </w:r>
      <w:r>
        <w:rPr>
          <w:rFonts w:eastAsia="等线" w:ascii="Arial" w:cs="Arial" w:hAnsi="Arial"/>
          <w:sz w:val="22"/>
        </w:rPr>
        <w:t>，同比增114%，产业资本真金白银入场。</w:t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</w:t>
            </w:r>
            <w:r>
              <w:rPr>
                <w:rFonts w:eastAsia="等线" w:ascii="Arial" w:cs="Arial" w:hAnsi="Arial"/>
                <w:sz w:val="22"/>
              </w:rPr>
              <w:t>：英伟达Q1财报超预期但盘后走弱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：华尔街见闻（2026-05-21）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英伟达2026年Q1业绩：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营收</w:t>
      </w:r>
      <w:r>
        <w:rPr>
          <w:rFonts w:eastAsia="等线" w:ascii="Arial" w:cs="Arial" w:hAnsi="Arial"/>
          <w:b w:val="true"/>
          <w:sz w:val="22"/>
        </w:rPr>
        <w:t>816.2亿美元</w:t>
      </w:r>
      <w:r>
        <w:rPr>
          <w:rFonts w:eastAsia="等线" w:ascii="Arial" w:cs="Arial" w:hAnsi="Arial"/>
          <w:sz w:val="22"/>
        </w:rPr>
        <w:t>，同比增</w:t>
      </w:r>
      <w:r>
        <w:rPr>
          <w:rFonts w:eastAsia="等线" w:ascii="Arial" w:cs="Arial" w:hAnsi="Arial"/>
          <w:b w:val="true"/>
          <w:sz w:val="22"/>
        </w:rPr>
        <w:t>85%</w:t>
      </w:r>
      <w:r>
        <w:rPr>
          <w:rFonts w:eastAsia="等线" w:ascii="Arial" w:cs="Arial" w:hAnsi="Arial"/>
          <w:sz w:val="22"/>
        </w:rPr>
        <w:t>（创逾一年最高同比增速）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数据中心业务营收同比增92%，环比增21%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净利润</w:t>
      </w:r>
      <w:r>
        <w:rPr>
          <w:rFonts w:eastAsia="等线" w:ascii="Arial" w:cs="Arial" w:hAnsi="Arial"/>
          <w:b w:val="true"/>
          <w:sz w:val="22"/>
        </w:rPr>
        <w:t>429.6亿美元</w:t>
      </w:r>
      <w:r>
        <w:rPr>
          <w:rFonts w:eastAsia="等线" w:ascii="Arial" w:cs="Arial" w:hAnsi="Arial"/>
          <w:sz w:val="22"/>
        </w:rPr>
        <w:t>（去年同期188亿美元）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宣布新增</w:t>
      </w:r>
      <w:r>
        <w:rPr>
          <w:rFonts w:eastAsia="等线" w:ascii="Arial" w:cs="Arial" w:hAnsi="Arial"/>
          <w:b w:val="true"/>
          <w:sz w:val="22"/>
        </w:rPr>
        <w:t>800亿股票回购</w:t>
      </w:r>
      <w:r>
        <w:rPr>
          <w:rFonts w:eastAsia="等线" w:ascii="Arial" w:cs="Arial" w:hAnsi="Arial"/>
          <w:sz w:val="22"/>
        </w:rPr>
        <w:t>，季度股息大幅提高24倍至0.25美元/股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市场反应</w:t>
      </w:r>
      <w:r>
        <w:rPr>
          <w:rFonts w:eastAsia="等线" w:ascii="Arial" w:cs="Arial" w:hAnsi="Arial"/>
          <w:sz w:val="22"/>
        </w:rPr>
        <w:t>：财报发布后盘后股价一度跌超3%，随后震荡，最终跌约2%。分析师指出尽管业绩炸裂，但市场已高度计价乐观预期，“见好就收”情绪浓厚。</w:t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</w:t>
            </w:r>
            <w:r>
              <w:rPr>
                <w:rFonts w:eastAsia="等线" w:ascii="Arial" w:cs="Arial" w:hAnsi="Arial"/>
                <w:sz w:val="22"/>
              </w:rPr>
              <w:t>：美伊谈判缓和，油价大幅下跌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：华尔街见闻（2026-05-21）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特朗普表示美伊谈判已进入“最后阶段”，市场对中东冲突快速降温的预期升温。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WTI原油期货</w:t>
      </w:r>
      <w:r>
        <w:rPr>
          <w:rFonts w:eastAsia="等线" w:ascii="Arial" w:cs="Arial" w:hAnsi="Arial"/>
          <w:sz w:val="22"/>
        </w:rPr>
        <w:t>大跌5.5%以上，报</w:t>
      </w:r>
      <w:r>
        <w:rPr>
          <w:rFonts w:eastAsia="等线" w:ascii="Arial" w:cs="Arial" w:hAnsi="Arial"/>
          <w:b w:val="true"/>
          <w:sz w:val="22"/>
        </w:rPr>
        <w:t>98.47美元/桶</w:t>
      </w:r>
      <w:r>
        <w:rPr>
          <w:rFonts w:eastAsia="等线" w:ascii="Arial" w:cs="Arial" w:hAnsi="Arial"/>
          <w:sz w:val="22"/>
        </w:rPr>
        <w:t>；布伦特原油盘中跌超7%。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油价回落缓解航空、邮轮等行业成本压力，美股航空股大幅反弹（联合大陆航空+9.99%，达美航空+9.39%）。</w:t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</w:t>
            </w:r>
            <w:r>
              <w:rPr>
                <w:rFonts w:eastAsia="等线" w:ascii="Arial" w:cs="Arial" w:hAnsi="Arial"/>
                <w:sz w:val="22"/>
              </w:rPr>
              <w:t>：两大国产存储龙头IPO提速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：东方财富网（2026-05-21）</w:t>
      </w:r>
      <w:hyperlink r:id="rId7">
        <w:r>
          <w:rPr>
            <w:rFonts w:eastAsia="等线" w:ascii="Arial" w:cs="Arial" w:hAnsi="Arial"/>
            <w:color w:val="3370ff"/>
            <w:sz w:val="22"/>
          </w:rPr>
          <w:t>[35]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长鑫科技</w:t>
      </w:r>
      <w:r>
        <w:rPr>
          <w:rFonts w:eastAsia="等线" w:ascii="Arial" w:cs="Arial" w:hAnsi="Arial"/>
          <w:sz w:val="22"/>
        </w:rPr>
        <w:t>：上交所定于</w:t>
      </w:r>
      <w:r>
        <w:rPr>
          <w:rFonts w:eastAsia="等线" w:ascii="Arial" w:cs="Arial" w:hAnsi="Arial"/>
          <w:b w:val="true"/>
          <w:sz w:val="22"/>
        </w:rPr>
        <w:t>5月27日</w:t>
      </w:r>
      <w:r>
        <w:rPr>
          <w:rFonts w:eastAsia="等线" w:ascii="Arial" w:cs="Arial" w:hAnsi="Arial"/>
          <w:sz w:val="22"/>
        </w:rPr>
        <w:t>审议其首发事项。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长江存储</w:t>
      </w:r>
      <w:r>
        <w:rPr>
          <w:rFonts w:eastAsia="等线" w:ascii="Arial" w:cs="Arial" w:hAnsi="Arial"/>
          <w:sz w:val="22"/>
        </w:rPr>
        <w:t>：已完成IPO辅导，拟发行股票并上市。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两大国产存储龙头加速资本化，存储芯片赛道持续受益于国产替代逻辑，2026年国产市占率预计从</w:t>
      </w:r>
      <w:r>
        <w:rPr>
          <w:rFonts w:eastAsia="等线" w:ascii="Arial" w:cs="Arial" w:hAnsi="Arial"/>
          <w:b w:val="true"/>
          <w:sz w:val="22"/>
        </w:rPr>
        <w:t>12%提升至25%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其他重要资讯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LPR连续12个月维持不变</w:t>
      </w:r>
      <w:r>
        <w:rPr>
          <w:rFonts w:eastAsia="等线" w:ascii="Arial" w:cs="Arial" w:hAnsi="Arial"/>
          <w:sz w:val="22"/>
        </w:rPr>
        <w:t>：5月最新LPR报价出炉：1年期</w:t>
      </w:r>
      <w:r>
        <w:rPr>
          <w:rFonts w:eastAsia="等线" w:ascii="Arial" w:cs="Arial" w:hAnsi="Arial"/>
          <w:b w:val="true"/>
          <w:sz w:val="22"/>
        </w:rPr>
        <w:t>3.1%</w:t>
      </w:r>
      <w:r>
        <w:rPr>
          <w:rFonts w:eastAsia="等线" w:ascii="Arial" w:cs="Arial" w:hAnsi="Arial"/>
          <w:sz w:val="22"/>
        </w:rPr>
        <w:t>，5年期以上</w:t>
      </w:r>
      <w:r>
        <w:rPr>
          <w:rFonts w:eastAsia="等线" w:ascii="Arial" w:cs="Arial" w:hAnsi="Arial"/>
          <w:b w:val="true"/>
          <w:sz w:val="22"/>
        </w:rPr>
        <w:t>3.5%</w:t>
      </w:r>
      <w:r>
        <w:rPr>
          <w:rFonts w:eastAsia="等线" w:ascii="Arial" w:cs="Arial" w:hAnsi="Arial"/>
          <w:sz w:val="22"/>
        </w:rPr>
        <w:t>，连续12个月保持不变。货币政策维持稳健基调，短期降息预期落空。</w:t>
      </w:r>
      <w:hyperlink r:id="rId8">
        <w:r>
          <w:rPr>
            <w:rFonts w:eastAsia="等线" w:ascii="Arial" w:cs="Arial" w:hAnsi="Arial"/>
            <w:color w:val="3370ff"/>
            <w:sz w:val="22"/>
          </w:rPr>
          <w:t>[36]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巴克莱：人形机器人2035年市场规模或达2000亿美元</w:t>
      </w:r>
      <w:r>
        <w:rPr>
          <w:rFonts w:eastAsia="等线" w:ascii="Arial" w:cs="Arial" w:hAnsi="Arial"/>
          <w:sz w:val="22"/>
        </w:rPr>
        <w:t>：巴克莱在最新报告中表示，人形机器人市场有望在2035年前成长为</w:t>
      </w:r>
      <w:r>
        <w:rPr>
          <w:rFonts w:eastAsia="等线" w:ascii="Arial" w:cs="Arial" w:hAnsi="Arial"/>
          <w:b w:val="true"/>
          <w:sz w:val="22"/>
        </w:rPr>
        <w:t>2000亿美元</w:t>
      </w:r>
      <w:r>
        <w:rPr>
          <w:rFonts w:eastAsia="等线" w:ascii="Arial" w:cs="Arial" w:hAnsi="Arial"/>
          <w:sz w:val="22"/>
        </w:rPr>
        <w:t>规模的新产业，并进一步支撑1万亿美元级别的物理AI生态。</w:t>
      </w:r>
      <w:hyperlink r:id="rId9">
        <w:r>
          <w:rPr>
            <w:rFonts w:eastAsia="等线" w:ascii="Arial" w:cs="Arial" w:hAnsi="Arial"/>
            <w:color w:val="3370ff"/>
            <w:sz w:val="22"/>
          </w:rPr>
          <w:t>[35]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特斯拉FSD监督版即将在中国落地</w:t>
      </w:r>
      <w:r>
        <w:rPr>
          <w:rFonts w:eastAsia="等线" w:ascii="Arial" w:cs="Arial" w:hAnsi="Arial"/>
          <w:sz w:val="22"/>
        </w:rPr>
        <w:t>：特斯拉官方宣布监督版FSD的最新布局，提到监督版FSD可以在中国使用。特斯拉中国发布多个与智能驾驶测试相关的招聘岗位，引发FSD加速落地中国市场的猜测。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三、主力资金动向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北向资金净流向</w:t>
      </w:r>
      <w:bookmarkEnd w:id="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今日（5月21日）</w:t>
      </w:r>
      <w:r>
        <w:rPr>
          <w:rFonts w:eastAsia="等线" w:ascii="Arial" w:cs="Arial" w:hAnsi="Arial"/>
          <w:sz w:val="22"/>
        </w:rPr>
        <w:t>：早盘净流出约</w:t>
      </w:r>
      <w:r>
        <w:rPr>
          <w:rFonts w:eastAsia="等线" w:ascii="Arial" w:cs="Arial" w:hAnsi="Arial"/>
          <w:b w:val="true"/>
          <w:sz w:val="22"/>
        </w:rPr>
        <w:t>45.8亿元</w:t>
      </w:r>
      <w:r>
        <w:rPr>
          <w:rFonts w:eastAsia="等线" w:ascii="Arial" w:cs="Arial" w:hAnsi="Arial"/>
          <w:sz w:val="22"/>
        </w:rPr>
        <w:t>，结束此前连续流入态势，午后持续流出。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本周累计</w:t>
      </w:r>
      <w:r>
        <w:rPr>
          <w:rFonts w:eastAsia="等线" w:ascii="Arial" w:cs="Arial" w:hAnsi="Arial"/>
          <w:sz w:val="22"/>
        </w:rPr>
        <w:t>：北向资金净流入约</w:t>
      </w:r>
      <w:r>
        <w:rPr>
          <w:rFonts w:eastAsia="等线" w:ascii="Arial" w:cs="Arial" w:hAnsi="Arial"/>
          <w:b w:val="true"/>
          <w:sz w:val="22"/>
        </w:rPr>
        <w:t>82亿</w:t>
      </w:r>
      <w:r>
        <w:rPr>
          <w:rFonts w:eastAsia="等线" w:ascii="Arial" w:cs="Arial" w:hAnsi="Arial"/>
          <w:sz w:val="22"/>
        </w:rPr>
        <w:t>，结束前两周连续净流出。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：海外市场回暖（纳指涨1.53%），全球风险偏好提升，外资对A股硬科技赛道重新关注。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南向资金</w:t>
      </w:r>
      <w:bookmarkEnd w:id="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5月21日13时14分，南向资金净买入额超</w:t>
      </w:r>
      <w:r>
        <w:rPr>
          <w:rFonts w:eastAsia="等线" w:ascii="Arial" w:cs="Arial" w:hAnsi="Arial"/>
          <w:b w:val="true"/>
          <w:sz w:val="22"/>
        </w:rPr>
        <w:t>20亿港元</w:t>
      </w:r>
      <w:r>
        <w:rPr>
          <w:rFonts w:eastAsia="等线" w:ascii="Arial" w:cs="Arial" w:hAnsi="Arial"/>
          <w:sz w:val="22"/>
        </w:rPr>
        <w:t>，达到</w:t>
      </w:r>
      <w:r>
        <w:rPr>
          <w:rFonts w:eastAsia="等线" w:ascii="Arial" w:cs="Arial" w:hAnsi="Arial"/>
          <w:b w:val="true"/>
          <w:sz w:val="22"/>
        </w:rPr>
        <w:t>20.40亿港元</w:t>
      </w:r>
      <w:r>
        <w:rPr>
          <w:rFonts w:eastAsia="等线" w:ascii="Arial" w:cs="Arial" w:hAnsi="Arial"/>
          <w:sz w:val="22"/>
        </w:rPr>
        <w:t>（港股通）</w:t>
      </w:r>
      <w:hyperlink r:id="rId10">
        <w:r>
          <w:rPr>
            <w:rFonts w:eastAsia="等线" w:ascii="Arial" w:cs="Arial" w:hAnsi="Arial"/>
            <w:color w:val="3370ff"/>
            <w:sz w:val="22"/>
          </w:rPr>
          <w:t>[2]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今日资金净流入板块TOP5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根据盘面数据整理（按当日资金流向估算）：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资金净流入估算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半导体/芯片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持续净流入，存储芯片方向强势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券商/非银金融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华安证券涨停，东方财富获主力净买入超12.86亿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汽车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资金净流入板块之一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医药生物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资金净流入板块之一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人形机器人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盘面护盘方向之一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今日资金净流出板块TOP5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资金净流出估算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通信/光通信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光迅科技遭净卖出超16亿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电力设备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昨日净流出200亿，今日有所放缓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电子/AI硬件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高位AI算力、算力硬件集体跳水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油气开采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油价大跌带动能源板块回调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传媒/AI应用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高位资金兑现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资金流向核心特征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高位出逃明显</w:t>
            </w:r>
            <w:r>
              <w:rPr>
                <w:rFonts w:eastAsia="等线" w:ascii="Arial" w:cs="Arial" w:hAnsi="Arial"/>
                <w:sz w:val="22"/>
              </w:rPr>
              <w:t>：主力资金从高位科技、AI算力、光通信等板块净流出，单日净流出创阶段新高。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高低切换</w:t>
            </w:r>
            <w:r>
              <w:rPr>
                <w:rFonts w:eastAsia="等线" w:ascii="Arial" w:cs="Arial" w:hAnsi="Arial"/>
                <w:sz w:val="22"/>
              </w:rPr>
              <w:t>：资金从高位科技股流向低位金融（券商、银行）、消费等防御板块。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极致分化</w:t>
            </w:r>
            <w:r>
              <w:rPr>
                <w:rFonts w:eastAsia="等线" w:ascii="Arial" w:cs="Arial" w:hAnsi="Arial"/>
                <w:sz w:val="22"/>
              </w:rPr>
              <w:t>：早盘普涨、午后逾4400只个股下跌，主力借高位出货意图明确。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四、当前市场风口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热门板块/题材分析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主线一：半导体/存储芯片（持续强势）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：国产替代加速 + 全球存储芯片缺货（DRAM价格今年已涨</w:t>
      </w:r>
      <w:r>
        <w:rPr>
          <w:rFonts w:eastAsia="等线" w:ascii="Arial" w:cs="Arial" w:hAnsi="Arial"/>
          <w:b w:val="true"/>
          <w:sz w:val="22"/>
        </w:rPr>
        <w:t>45%</w:t>
      </w:r>
      <w:r>
        <w:rPr>
          <w:rFonts w:eastAsia="等线" w:ascii="Arial" w:cs="Arial" w:hAnsi="Arial"/>
          <w:sz w:val="22"/>
        </w:rPr>
        <w:t>）+ 长江存储、长鑫科技IPO催化。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个股表现</w:t>
      </w:r>
      <w:r>
        <w:rPr>
          <w:rFonts w:eastAsia="等线" w:ascii="Arial" w:cs="Arial" w:hAnsi="Arial"/>
          <w:sz w:val="22"/>
        </w:rPr>
        <w:t>：兆易创新涨停，佰维存储涨14%，上海合晶(早盘)涨停，科创50再创历史新高。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：短期涨幅过大，今日出现高位分化。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主线二：AI算力/服务器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：英伟达Q1业绩超预期，全球算力需求持续爆发，国内AI服务器订单排到年底。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个股表现</w:t>
      </w:r>
      <w:r>
        <w:rPr>
          <w:rFonts w:eastAsia="等线" w:ascii="Arial" w:cs="Arial" w:hAnsi="Arial"/>
          <w:sz w:val="22"/>
        </w:rPr>
        <w:t>：工业富联涨停，成交</w:t>
      </w:r>
      <w:r>
        <w:rPr>
          <w:rFonts w:eastAsia="等线" w:ascii="Arial" w:cs="Arial" w:hAnsi="Arial"/>
          <w:b w:val="true"/>
          <w:sz w:val="22"/>
        </w:rPr>
        <w:t>265亿</w:t>
      </w:r>
      <w:r>
        <w:rPr>
          <w:rFonts w:eastAsia="等线" w:ascii="Arial" w:cs="Arial" w:hAnsi="Arial"/>
          <w:sz w:val="22"/>
        </w:rPr>
        <w:t>，今年一季度净利润同比增78%。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：高位筹码松动，今日出现回调。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主线三：人形机器人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：巴克莱报告催化2035年2000亿美元市场空间，乐聚智能创业板IPO获受理。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：题材炒作，注意高位风险。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主线四：券商/金融板块（补涨方向）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：A股市场活跃度提升，券商业绩改善，估值处于历史低位。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个股表现</w:t>
      </w:r>
      <w:r>
        <w:rPr>
          <w:rFonts w:eastAsia="等线" w:ascii="Arial" w:cs="Arial" w:hAnsi="Arial"/>
          <w:sz w:val="22"/>
        </w:rPr>
        <w:t>：华安证券5分钟涨停，东方财富获大单买入。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</w:t>
      </w:r>
      <w:r>
        <w:rPr>
          <w:rFonts w:eastAsia="等线" w:ascii="Arial" w:cs="Arial" w:hAnsi="Arial"/>
          <w:sz w:val="22"/>
        </w:rPr>
        <w:t>：低位补涨，非市场主线。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龙头个股表现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今日表现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兆易创新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存储芯片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佰维存储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存储芯片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涨14%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工业富联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AI服务器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涨停，成交265亿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北方华创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半导体设备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涨超8%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寒武纪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AI芯片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涨12%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长电科技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先进封装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涨7.8%，成交128亿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华安证券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券商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东方财富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券商/互联网金融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主力净买入超12亿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威龙股份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食品饮料+并购重组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6连板后澄清无算力注入计划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五、投资参考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今日值得关注的信号或变化</w:t>
      </w:r>
      <w:bookmarkEnd w:id="1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冲高回落 + 长上影线</w:t>
      </w:r>
      <w:r>
        <w:rPr>
          <w:rFonts w:eastAsia="等线" w:ascii="Arial" w:cs="Arial" w:hAnsi="Arial"/>
          <w:sz w:val="22"/>
        </w:rPr>
        <w:t>：上证指数4199点附近形成射击星形态，历史上类似信号往往预示短期调整压力。量能维持高位（近3万亿），但指数滞涨，</w:t>
      </w:r>
      <w:r>
        <w:rPr>
          <w:rFonts w:eastAsia="等线" w:ascii="Arial" w:cs="Arial" w:hAnsi="Arial"/>
          <w:b w:val="true"/>
          <w:sz w:val="22"/>
        </w:rPr>
        <w:t>量价背离</w:t>
      </w:r>
      <w:r>
        <w:rPr>
          <w:rFonts w:eastAsia="等线" w:ascii="Arial" w:cs="Arial" w:hAnsi="Arial"/>
          <w:sz w:val="22"/>
        </w:rPr>
        <w:t>需警惕。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外资动向逆转</w:t>
      </w:r>
      <w:r>
        <w:rPr>
          <w:rFonts w:eastAsia="等线" w:ascii="Arial" w:cs="Arial" w:hAnsi="Arial"/>
          <w:sz w:val="22"/>
        </w:rPr>
        <w:t>：北向资金结束连续流入转为净流出，“聪明钱”在高位减仓信号值得关注。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极致分化格局延续</w:t>
      </w:r>
      <w:r>
        <w:rPr>
          <w:rFonts w:eastAsia="等线" w:ascii="Arial" w:cs="Arial" w:hAnsi="Arial"/>
          <w:sz w:val="22"/>
        </w:rPr>
        <w:t>：市场整体已告别普涨普跌，主线（半导体/AI算力）与非主线个股走势差异持续拉大，</w:t>
      </w:r>
      <w:r>
        <w:rPr>
          <w:rFonts w:eastAsia="等线" w:ascii="Arial" w:cs="Arial" w:hAnsi="Arial"/>
          <w:b w:val="true"/>
          <w:sz w:val="22"/>
        </w:rPr>
        <w:t>精选赛道的重要性高于指数研判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高低切换信号明显</w:t>
      </w:r>
      <w:r>
        <w:rPr>
          <w:rFonts w:eastAsia="等线" w:ascii="Arial" w:cs="Arial" w:hAnsi="Arial"/>
          <w:sz w:val="22"/>
        </w:rPr>
        <w:t>：资金从高位AI硬件、光通信等向低位券商、消费、金融板块迁移，反映机构在高位的防御性调仓行为。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英伟达盘后走弱</w:t>
      </w:r>
      <w:r>
        <w:rPr>
          <w:rFonts w:eastAsia="等线" w:ascii="Arial" w:cs="Arial" w:hAnsi="Arial"/>
          <w:sz w:val="22"/>
        </w:rPr>
        <w:t>：作为全球AI算力的风向标，英伟达“</w:t>
      </w:r>
      <w:r>
        <w:rPr>
          <w:rFonts w:eastAsia="等线" w:ascii="Arial" w:cs="Arial" w:hAnsi="Arial"/>
          <w:b w:val="true"/>
          <w:sz w:val="22"/>
        </w:rPr>
        <w:t>利好兑现</w:t>
      </w:r>
      <w:r>
        <w:rPr>
          <w:rFonts w:eastAsia="等线" w:ascii="Arial" w:cs="Arial" w:hAnsi="Arial"/>
          <w:sz w:val="22"/>
        </w:rPr>
        <w:t>”式下跌需关注其对A股科技板块的情绪传导。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风险提示</w:t>
      </w:r>
      <w:bookmarkEnd w:id="1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短期技术调整压力</w:t>
      </w:r>
      <w:r>
        <w:rPr>
          <w:rFonts w:eastAsia="等线" w:ascii="Arial" w:cs="Arial" w:hAnsi="Arial"/>
          <w:sz w:val="22"/>
        </w:rPr>
        <w:t>：4199点射击星 + 天量滞涨 + 高位科技筹码松动，短期或有震荡调整，建议控制仓位，不盲目追涨高位品种。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高位科技股分化风险</w:t>
      </w:r>
      <w:r>
        <w:rPr>
          <w:rFonts w:eastAsia="等线" w:ascii="Arial" w:cs="Arial" w:hAnsi="Arial"/>
          <w:sz w:val="22"/>
        </w:rPr>
        <w:t>：半导体、AI算力等主线短期涨幅过大（部分个股年内翻倍），注意高位个股的业绩兑现压力。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量能依赖风险</w:t>
      </w:r>
      <w:r>
        <w:rPr>
          <w:rFonts w:eastAsia="等线" w:ascii="Arial" w:cs="Arial" w:hAnsi="Arial"/>
          <w:sz w:val="22"/>
        </w:rPr>
        <w:t>：当前市场极度依赖持续放量（2.5万亿以上），若量能萎缩，指数上行阻力将显著增大。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外围市场传导风险</w:t>
      </w:r>
      <w:r>
        <w:rPr>
          <w:rFonts w:eastAsia="等线" w:ascii="Arial" w:cs="Arial" w:hAnsi="Arial"/>
          <w:sz w:val="22"/>
        </w:rPr>
        <w:t>：美联储会议纪要偏鹰，市场正重新定价加息可能性；英伟达盘后走弱若明日传导至A股科技板块，需关注情绪压力。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一季报业绩风险</w:t>
      </w:r>
      <w:r>
        <w:rPr>
          <w:rFonts w:eastAsia="等线" w:ascii="Arial" w:cs="Arial" w:hAnsi="Arial"/>
          <w:sz w:val="22"/>
        </w:rPr>
        <w:t>：2026年一季报显示</w:t>
      </w:r>
      <w:r>
        <w:rPr>
          <w:rFonts w:eastAsia="等线" w:ascii="Arial" w:cs="Arial" w:hAnsi="Arial"/>
          <w:b w:val="true"/>
          <w:sz w:val="22"/>
        </w:rPr>
        <w:t>2261家上市公司</w:t>
      </w:r>
      <w:r>
        <w:rPr>
          <w:rFonts w:eastAsia="等线" w:ascii="Arial" w:cs="Arial" w:hAnsi="Arial"/>
          <w:sz w:val="22"/>
        </w:rPr>
        <w:t>归母净利润同比负增长，个股基本面分化严重，需防范业绩地雷。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机构观点摘要</w:t>
      </w:r>
      <w:bookmarkEnd w:id="1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华鑫证券</w:t>
      </w:r>
      <w:r>
        <w:rPr>
          <w:rFonts w:eastAsia="等线" w:ascii="Arial" w:cs="Arial" w:hAnsi="Arial"/>
          <w:sz w:val="22"/>
        </w:rPr>
        <w:t>：本轮回调主要受海外利率压制与国内资金止盈两方面影响，判断仅为短期降温，而非牛市终结。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融智投资基金经理夏风光</w:t>
      </w:r>
      <w:r>
        <w:rPr>
          <w:rFonts w:eastAsia="等线" w:ascii="Arial" w:cs="Arial" w:hAnsi="Arial"/>
          <w:sz w:val="22"/>
        </w:rPr>
        <w:t>：市场调整源于前期上涨积累的获利盘压力较大，是进入震荡阶段的迹象。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中航证券</w:t>
      </w:r>
      <w:r>
        <w:rPr>
          <w:rFonts w:eastAsia="等线" w:ascii="Arial" w:cs="Arial" w:hAnsi="Arial"/>
          <w:sz w:val="22"/>
        </w:rPr>
        <w:t>：券商板块估值与业绩显著背离，当前估值处于历史低位，安全边际充足，后续修复空间较大。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数据来源与免责声明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：本报告信息综合自今日头条、东方财富网、华尔街见闻、上海证券报、中国证券报、Wind、同花顺等公开信息平台，统计窗口截至2026年5月21日。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免责声明</w:t>
      </w:r>
      <w:r>
        <w:rPr>
          <w:rFonts w:eastAsia="等线" w:ascii="Arial" w:cs="Arial" w:hAnsi="Arial"/>
          <w:sz w:val="22"/>
        </w:rPr>
        <w:t>：本报告内容基于公开信息整理，力求客观准确，但不保证所载信息的完全可靠。报告中的观点、结论仅供参考，不构成任何投资建议。投资者据此操作，风险自担。市场有风险，投资需谨慎。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9050">
    <w:lvl>
      <w:numFmt w:val="bullet"/>
      <w:suff w:val="tab"/>
      <w:lvlText w:val="•"/>
      <w:rPr>
        <w:color w:val="3370ff"/>
      </w:rPr>
    </w:lvl>
  </w:abstractNum>
  <w:abstractNum w:abstractNumId="1429051">
    <w:lvl>
      <w:numFmt w:val="bullet"/>
      <w:suff w:val="tab"/>
      <w:lvlText w:val="•"/>
      <w:rPr>
        <w:color w:val="3370ff"/>
      </w:rPr>
    </w:lvl>
  </w:abstractNum>
  <w:abstractNum w:abstractNumId="1429052">
    <w:lvl>
      <w:numFmt w:val="bullet"/>
      <w:suff w:val="tab"/>
      <w:lvlText w:val="•"/>
      <w:rPr>
        <w:color w:val="3370ff"/>
      </w:rPr>
    </w:lvl>
  </w:abstractNum>
  <w:abstractNum w:abstractNumId="1429053">
    <w:lvl>
      <w:numFmt w:val="bullet"/>
      <w:suff w:val="tab"/>
      <w:lvlText w:val="•"/>
      <w:rPr>
        <w:color w:val="3370ff"/>
      </w:rPr>
    </w:lvl>
  </w:abstractNum>
  <w:abstractNum w:abstractNumId="1429054">
    <w:lvl>
      <w:numFmt w:val="bullet"/>
      <w:suff w:val="tab"/>
      <w:lvlText w:val="•"/>
      <w:rPr>
        <w:color w:val="3370ff"/>
      </w:rPr>
    </w:lvl>
  </w:abstractNum>
  <w:abstractNum w:abstractNumId="1429055">
    <w:lvl>
      <w:numFmt w:val="bullet"/>
      <w:suff w:val="tab"/>
      <w:lvlText w:val="•"/>
      <w:rPr>
        <w:color w:val="3370ff"/>
      </w:rPr>
    </w:lvl>
  </w:abstractNum>
  <w:abstractNum w:abstractNumId="1429056">
    <w:lvl>
      <w:start w:val="1"/>
      <w:numFmt w:val="decimal"/>
      <w:suff w:val="tab"/>
      <w:lvlText w:val="%1."/>
      <w:rPr>
        <w:color w:val="3370ff"/>
      </w:rPr>
    </w:lvl>
  </w:abstractNum>
  <w:abstractNum w:abstractNumId="1429057">
    <w:lvl>
      <w:start w:val="2"/>
      <w:numFmt w:val="decimal"/>
      <w:suff w:val="tab"/>
      <w:lvlText w:val="%1."/>
      <w:rPr>
        <w:color w:val="3370ff"/>
      </w:rPr>
    </w:lvl>
  </w:abstractNum>
  <w:abstractNum w:abstractNumId="1429058">
    <w:lvl>
      <w:start w:val="3"/>
      <w:numFmt w:val="decimal"/>
      <w:suff w:val="tab"/>
      <w:lvlText w:val="%1."/>
      <w:rPr>
        <w:color w:val="3370ff"/>
      </w:rPr>
    </w:lvl>
  </w:abstractNum>
  <w:abstractNum w:abstractNumId="1429059">
    <w:lvl>
      <w:numFmt w:val="bullet"/>
      <w:suff w:val="tab"/>
      <w:lvlText w:val="•"/>
      <w:rPr>
        <w:color w:val="3370ff"/>
      </w:rPr>
    </w:lvl>
  </w:abstractNum>
  <w:abstractNum w:abstractNumId="1429060">
    <w:lvl>
      <w:numFmt w:val="bullet"/>
      <w:suff w:val="tab"/>
      <w:lvlText w:val="•"/>
      <w:rPr>
        <w:color w:val="3370ff"/>
      </w:rPr>
    </w:lvl>
  </w:abstractNum>
  <w:abstractNum w:abstractNumId="1429061">
    <w:lvl>
      <w:numFmt w:val="bullet"/>
      <w:suff w:val="tab"/>
      <w:lvlText w:val="•"/>
      <w:rPr>
        <w:color w:val="3370ff"/>
      </w:rPr>
    </w:lvl>
  </w:abstractNum>
  <w:abstractNum w:abstractNumId="1429062">
    <w:lvl>
      <w:numFmt w:val="bullet"/>
      <w:suff w:val="tab"/>
      <w:lvlText w:val="•"/>
      <w:rPr>
        <w:color w:val="3370ff"/>
      </w:rPr>
    </w:lvl>
  </w:abstractNum>
  <w:abstractNum w:abstractNumId="1429063">
    <w:lvl>
      <w:numFmt w:val="bullet"/>
      <w:suff w:val="tab"/>
      <w:lvlText w:val="•"/>
      <w:rPr>
        <w:color w:val="3370ff"/>
      </w:rPr>
    </w:lvl>
  </w:abstractNum>
  <w:abstractNum w:abstractNumId="1429064">
    <w:lvl>
      <w:numFmt w:val="bullet"/>
      <w:suff w:val="tab"/>
      <w:lvlText w:val="•"/>
      <w:rPr>
        <w:color w:val="3370ff"/>
      </w:rPr>
    </w:lvl>
  </w:abstractNum>
  <w:abstractNum w:abstractNumId="1429065">
    <w:lvl>
      <w:numFmt w:val="bullet"/>
      <w:suff w:val="tab"/>
      <w:lvlText w:val="•"/>
      <w:rPr>
        <w:color w:val="3370ff"/>
      </w:rPr>
    </w:lvl>
  </w:abstractNum>
  <w:abstractNum w:abstractNumId="1429066">
    <w:lvl>
      <w:numFmt w:val="bullet"/>
      <w:suff w:val="tab"/>
      <w:lvlText w:val="•"/>
      <w:rPr>
        <w:color w:val="3370ff"/>
      </w:rPr>
    </w:lvl>
  </w:abstractNum>
  <w:abstractNum w:abstractNumId="1429067">
    <w:lvl>
      <w:numFmt w:val="bullet"/>
      <w:suff w:val="tab"/>
      <w:lvlText w:val="•"/>
      <w:rPr>
        <w:color w:val="3370ff"/>
      </w:rPr>
    </w:lvl>
  </w:abstractNum>
  <w:abstractNum w:abstractNumId="1429068">
    <w:lvl>
      <w:numFmt w:val="bullet"/>
      <w:suff w:val="tab"/>
      <w:lvlText w:val="•"/>
      <w:rPr>
        <w:color w:val="3370ff"/>
      </w:rPr>
    </w:lvl>
  </w:abstractNum>
  <w:abstractNum w:abstractNumId="1429069">
    <w:lvl>
      <w:numFmt w:val="bullet"/>
      <w:suff w:val="tab"/>
      <w:lvlText w:val="•"/>
      <w:rPr>
        <w:color w:val="3370ff"/>
      </w:rPr>
    </w:lvl>
  </w:abstractNum>
  <w:abstractNum w:abstractNumId="1429070">
    <w:lvl>
      <w:numFmt w:val="bullet"/>
      <w:suff w:val="tab"/>
      <w:lvlText w:val="•"/>
      <w:rPr>
        <w:color w:val="3370ff"/>
      </w:rPr>
    </w:lvl>
  </w:abstractNum>
  <w:abstractNum w:abstractNumId="1429071">
    <w:lvl>
      <w:numFmt w:val="bullet"/>
      <w:suff w:val="tab"/>
      <w:lvlText w:val="•"/>
      <w:rPr>
        <w:color w:val="3370ff"/>
      </w:rPr>
    </w:lvl>
  </w:abstractNum>
  <w:abstractNum w:abstractNumId="1429072">
    <w:lvl>
      <w:numFmt w:val="bullet"/>
      <w:suff w:val="tab"/>
      <w:lvlText w:val="•"/>
      <w:rPr>
        <w:color w:val="3370ff"/>
      </w:rPr>
    </w:lvl>
  </w:abstractNum>
  <w:abstractNum w:abstractNumId="1429073">
    <w:lvl>
      <w:numFmt w:val="bullet"/>
      <w:suff w:val="tab"/>
      <w:lvlText w:val="•"/>
      <w:rPr>
        <w:color w:val="3370ff"/>
      </w:rPr>
    </w:lvl>
  </w:abstractNum>
  <w:abstractNum w:abstractNumId="1429074">
    <w:lvl>
      <w:numFmt w:val="bullet"/>
      <w:suff w:val="tab"/>
      <w:lvlText w:val="•"/>
      <w:rPr>
        <w:color w:val="3370ff"/>
      </w:rPr>
    </w:lvl>
  </w:abstractNum>
  <w:abstractNum w:abstractNumId="1429075">
    <w:lvl>
      <w:numFmt w:val="bullet"/>
      <w:suff w:val="tab"/>
      <w:lvlText w:val="•"/>
      <w:rPr>
        <w:color w:val="3370ff"/>
      </w:rPr>
    </w:lvl>
  </w:abstractNum>
  <w:abstractNum w:abstractNumId="1429076">
    <w:lvl>
      <w:numFmt w:val="bullet"/>
      <w:suff w:val="tab"/>
      <w:lvlText w:val="•"/>
      <w:rPr>
        <w:color w:val="3370ff"/>
      </w:rPr>
    </w:lvl>
  </w:abstractNum>
  <w:abstractNum w:abstractNumId="1429077">
    <w:lvl>
      <w:numFmt w:val="bullet"/>
      <w:suff w:val="tab"/>
      <w:lvlText w:val="•"/>
      <w:rPr>
        <w:color w:val="3370ff"/>
      </w:rPr>
    </w:lvl>
  </w:abstractNum>
  <w:abstractNum w:abstractNumId="1429078">
    <w:lvl>
      <w:numFmt w:val="bullet"/>
      <w:suff w:val="tab"/>
      <w:lvlText w:val="•"/>
      <w:rPr>
        <w:color w:val="3370ff"/>
      </w:rPr>
    </w:lvl>
  </w:abstractNum>
  <w:abstractNum w:abstractNumId="1429079">
    <w:lvl>
      <w:numFmt w:val="bullet"/>
      <w:suff w:val="tab"/>
      <w:lvlText w:val="•"/>
      <w:rPr>
        <w:color w:val="3370ff"/>
      </w:rPr>
    </w:lvl>
  </w:abstractNum>
  <w:abstractNum w:abstractNumId="1429080">
    <w:lvl>
      <w:numFmt w:val="bullet"/>
      <w:suff w:val="tab"/>
      <w:lvlText w:val="•"/>
      <w:rPr>
        <w:color w:val="3370ff"/>
      </w:rPr>
    </w:lvl>
  </w:abstractNum>
  <w:abstractNum w:abstractNumId="1429081">
    <w:lvl>
      <w:numFmt w:val="bullet"/>
      <w:suff w:val="tab"/>
      <w:lvlText w:val="•"/>
      <w:rPr>
        <w:color w:val="3370ff"/>
      </w:rPr>
    </w:lvl>
  </w:abstractNum>
  <w:abstractNum w:abstractNumId="1429082">
    <w:lvl>
      <w:numFmt w:val="bullet"/>
      <w:suff w:val="tab"/>
      <w:lvlText w:val="•"/>
      <w:rPr>
        <w:color w:val="3370ff"/>
      </w:rPr>
    </w:lvl>
  </w:abstractNum>
  <w:abstractNum w:abstractNumId="1429083">
    <w:lvl>
      <w:numFmt w:val="bullet"/>
      <w:suff w:val="tab"/>
      <w:lvlText w:val="•"/>
      <w:rPr>
        <w:color w:val="3370ff"/>
      </w:rPr>
    </w:lvl>
  </w:abstractNum>
  <w:abstractNum w:abstractNumId="1429084">
    <w:lvl>
      <w:numFmt w:val="bullet"/>
      <w:suff w:val="tab"/>
      <w:lvlText w:val="•"/>
      <w:rPr>
        <w:color w:val="3370ff"/>
      </w:rPr>
    </w:lvl>
  </w:abstractNum>
  <w:abstractNum w:abstractNumId="1429085">
    <w:lvl>
      <w:numFmt w:val="bullet"/>
      <w:suff w:val="tab"/>
      <w:lvlText w:val="•"/>
      <w:rPr>
        <w:color w:val="3370ff"/>
      </w:rPr>
    </w:lvl>
  </w:abstractNum>
  <w:abstractNum w:abstractNumId="1429086">
    <w:lvl>
      <w:numFmt w:val="bullet"/>
      <w:suff w:val="tab"/>
      <w:lvlText w:val="•"/>
      <w:rPr>
        <w:color w:val="3370ff"/>
      </w:rPr>
    </w:lvl>
  </w:abstractNum>
  <w:abstractNum w:abstractNumId="1429087">
    <w:lvl>
      <w:numFmt w:val="bullet"/>
      <w:suff w:val="tab"/>
      <w:lvlText w:val="•"/>
      <w:rPr>
        <w:color w:val="3370ff"/>
      </w:rPr>
    </w:lvl>
  </w:abstractNum>
  <w:abstractNum w:abstractNumId="1429088">
    <w:lvl>
      <w:numFmt w:val="bullet"/>
      <w:suff w:val="tab"/>
      <w:lvlText w:val="•"/>
      <w:rPr>
        <w:color w:val="3370ff"/>
      </w:rPr>
    </w:lvl>
  </w:abstractNum>
  <w:abstractNum w:abstractNumId="1429089">
    <w:lvl>
      <w:numFmt w:val="bullet"/>
      <w:suff w:val="tab"/>
      <w:lvlText w:val="•"/>
      <w:rPr>
        <w:color w:val="3370ff"/>
      </w:rPr>
    </w:lvl>
  </w:abstractNum>
  <w:abstractNum w:abstractNumId="1429090">
    <w:lvl>
      <w:start w:val="4"/>
      <w:numFmt w:val="decimal"/>
      <w:suff w:val="tab"/>
      <w:lvlText w:val="%1."/>
      <w:rPr>
        <w:color w:val="3370ff"/>
      </w:rPr>
    </w:lvl>
  </w:abstractNum>
  <w:abstractNum w:abstractNumId="1429091">
    <w:lvl>
      <w:start w:val="5"/>
      <w:numFmt w:val="decimal"/>
      <w:suff w:val="tab"/>
      <w:lvlText w:val="%1."/>
      <w:rPr>
        <w:color w:val="3370ff"/>
      </w:rPr>
    </w:lvl>
  </w:abstractNum>
  <w:abstractNum w:abstractNumId="1429092">
    <w:lvl>
      <w:start w:val="6"/>
      <w:numFmt w:val="decimal"/>
      <w:suff w:val="tab"/>
      <w:lvlText w:val="%1."/>
      <w:rPr>
        <w:color w:val="3370ff"/>
      </w:rPr>
    </w:lvl>
  </w:abstractNum>
  <w:abstractNum w:abstractNumId="1429093">
    <w:lvl>
      <w:start w:val="7"/>
      <w:numFmt w:val="decimal"/>
      <w:suff w:val="tab"/>
      <w:lvlText w:val="%1."/>
      <w:rPr>
        <w:color w:val="3370ff"/>
      </w:rPr>
    </w:lvl>
  </w:abstractNum>
  <w:abstractNum w:abstractNumId="1429094">
    <w:lvl>
      <w:start w:val="8"/>
      <w:numFmt w:val="decimal"/>
      <w:suff w:val="tab"/>
      <w:lvlText w:val="%1."/>
      <w:rPr>
        <w:color w:val="3370ff"/>
      </w:rPr>
    </w:lvl>
  </w:abstractNum>
  <w:abstractNum w:abstractNumId="1429095">
    <w:lvl>
      <w:start w:val="9"/>
      <w:numFmt w:val="decimal"/>
      <w:suff w:val="tab"/>
      <w:lvlText w:val="%1."/>
      <w:rPr>
        <w:color w:val="3370ff"/>
      </w:rPr>
    </w:lvl>
  </w:abstractNum>
  <w:abstractNum w:abstractNumId="1429096">
    <w:lvl>
      <w:start w:val="10"/>
      <w:numFmt w:val="decimal"/>
      <w:suff w:val="tab"/>
      <w:lvlText w:val="%1."/>
      <w:rPr>
        <w:color w:val="3370ff"/>
      </w:rPr>
    </w:lvl>
  </w:abstractNum>
  <w:abstractNum w:abstractNumId="1429097">
    <w:lvl>
      <w:start w:val="11"/>
      <w:numFmt w:val="decimal"/>
      <w:suff w:val="tab"/>
      <w:lvlText w:val="%1."/>
      <w:rPr>
        <w:color w:val="3370ff"/>
      </w:rPr>
    </w:lvl>
  </w:abstractNum>
  <w:abstractNum w:abstractNumId="1429098">
    <w:lvl>
      <w:start w:val="12"/>
      <w:numFmt w:val="decimal"/>
      <w:suff w:val="tab"/>
      <w:lvlText w:val="%1."/>
      <w:rPr>
        <w:color w:val="3370ff"/>
      </w:rPr>
    </w:lvl>
  </w:abstractNum>
  <w:abstractNum w:abstractNumId="1429099">
    <w:lvl>
      <w:start w:val="13"/>
      <w:numFmt w:val="decimal"/>
      <w:suff w:val="tab"/>
      <w:lvlText w:val="%1."/>
      <w:rPr>
        <w:color w:val="3370ff"/>
      </w:rPr>
    </w:lvl>
  </w:abstractNum>
  <w:abstractNum w:abstractNumId="1429100">
    <w:lvl>
      <w:numFmt w:val="bullet"/>
      <w:suff w:val="tab"/>
      <w:lvlText w:val="•"/>
      <w:rPr>
        <w:color w:val="3370ff"/>
      </w:rPr>
    </w:lvl>
  </w:abstractNum>
  <w:abstractNum w:abstractNumId="1429101">
    <w:lvl>
      <w:numFmt w:val="bullet"/>
      <w:suff w:val="tab"/>
      <w:lvlText w:val="•"/>
      <w:rPr>
        <w:color w:val="3370ff"/>
      </w:rPr>
    </w:lvl>
  </w:abstractNum>
  <w:abstractNum w:abstractNumId="1429102">
    <w:lvl>
      <w:numFmt w:val="bullet"/>
      <w:suff w:val="tab"/>
      <w:lvlText w:val="•"/>
      <w:rPr>
        <w:color w:val="3370ff"/>
      </w:rPr>
    </w:lvl>
  </w:abstractNum>
  <w:num w:numId="1">
    <w:abstractNumId w:val="1429050"/>
  </w:num>
  <w:num w:numId="2">
    <w:abstractNumId w:val="1429051"/>
  </w:num>
  <w:num w:numId="3">
    <w:abstractNumId w:val="1429052"/>
  </w:num>
  <w:num w:numId="4">
    <w:abstractNumId w:val="1429053"/>
  </w:num>
  <w:num w:numId="5">
    <w:abstractNumId w:val="1429054"/>
  </w:num>
  <w:num w:numId="6">
    <w:abstractNumId w:val="1429055"/>
  </w:num>
  <w:num w:numId="7">
    <w:abstractNumId w:val="1429056"/>
  </w:num>
  <w:num w:numId="8">
    <w:abstractNumId w:val="1429057"/>
  </w:num>
  <w:num w:numId="9">
    <w:abstractNumId w:val="1429058"/>
  </w:num>
  <w:num w:numId="10">
    <w:abstractNumId w:val="1429059"/>
  </w:num>
  <w:num w:numId="11">
    <w:abstractNumId w:val="1429060"/>
  </w:num>
  <w:num w:numId="12">
    <w:abstractNumId w:val="1429061"/>
  </w:num>
  <w:num w:numId="13">
    <w:abstractNumId w:val="1429062"/>
  </w:num>
  <w:num w:numId="14">
    <w:abstractNumId w:val="1429063"/>
  </w:num>
  <w:num w:numId="15">
    <w:abstractNumId w:val="1429064"/>
  </w:num>
  <w:num w:numId="16">
    <w:abstractNumId w:val="1429065"/>
  </w:num>
  <w:num w:numId="17">
    <w:abstractNumId w:val="1429066"/>
  </w:num>
  <w:num w:numId="18">
    <w:abstractNumId w:val="1429067"/>
  </w:num>
  <w:num w:numId="19">
    <w:abstractNumId w:val="1429068"/>
  </w:num>
  <w:num w:numId="20">
    <w:abstractNumId w:val="1429069"/>
  </w:num>
  <w:num w:numId="21">
    <w:abstractNumId w:val="1429070"/>
  </w:num>
  <w:num w:numId="22">
    <w:abstractNumId w:val="1429071"/>
  </w:num>
  <w:num w:numId="23">
    <w:abstractNumId w:val="1429072"/>
  </w:num>
  <w:num w:numId="24">
    <w:abstractNumId w:val="1429073"/>
  </w:num>
  <w:num w:numId="25">
    <w:abstractNumId w:val="1429074"/>
  </w:num>
  <w:num w:numId="26">
    <w:abstractNumId w:val="1429075"/>
  </w:num>
  <w:num w:numId="27">
    <w:abstractNumId w:val="1429076"/>
  </w:num>
  <w:num w:numId="28">
    <w:abstractNumId w:val="1429077"/>
  </w:num>
  <w:num w:numId="29">
    <w:abstractNumId w:val="1429078"/>
  </w:num>
  <w:num w:numId="30">
    <w:abstractNumId w:val="1429079"/>
  </w:num>
  <w:num w:numId="31">
    <w:abstractNumId w:val="1429080"/>
  </w:num>
  <w:num w:numId="32">
    <w:abstractNumId w:val="1429081"/>
  </w:num>
  <w:num w:numId="33">
    <w:abstractNumId w:val="1429082"/>
  </w:num>
  <w:num w:numId="34">
    <w:abstractNumId w:val="1429083"/>
  </w:num>
  <w:num w:numId="35">
    <w:abstractNumId w:val="1429084"/>
  </w:num>
  <w:num w:numId="36">
    <w:abstractNumId w:val="1429085"/>
  </w:num>
  <w:num w:numId="37">
    <w:abstractNumId w:val="1429086"/>
  </w:num>
  <w:num w:numId="38">
    <w:abstractNumId w:val="1429087"/>
  </w:num>
  <w:num w:numId="39">
    <w:abstractNumId w:val="1429088"/>
  </w:num>
  <w:num w:numId="40">
    <w:abstractNumId w:val="1429089"/>
  </w:num>
  <w:num w:numId="41">
    <w:abstractNumId w:val="1429090"/>
  </w:num>
  <w:num w:numId="42">
    <w:abstractNumId w:val="1429091"/>
  </w:num>
  <w:num w:numId="43">
    <w:abstractNumId w:val="1429092"/>
  </w:num>
  <w:num w:numId="44">
    <w:abstractNumId w:val="1429093"/>
  </w:num>
  <w:num w:numId="45">
    <w:abstractNumId w:val="1429094"/>
  </w:num>
  <w:num w:numId="46">
    <w:abstractNumId w:val="1429095"/>
  </w:num>
  <w:num w:numId="47">
    <w:abstractNumId w:val="1429096"/>
  </w:num>
  <w:num w:numId="48">
    <w:abstractNumId w:val="1429097"/>
  </w:num>
  <w:num w:numId="49">
    <w:abstractNumId w:val="1429098"/>
  </w:num>
  <w:num w:numId="50">
    <w:abstractNumId w:val="1429099"/>
  </w:num>
  <w:num w:numId="51">
    <w:abstractNumId w:val="1429100"/>
  </w:num>
  <w:num w:numId="52">
    <w:abstractNumId w:val="1429101"/>
  </w:num>
  <w:num w:numId="53">
    <w:abstractNumId w:val="14291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://www.cnstock.com/commonDetail/718169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ily.feishu.cn/?&amp;open-from=feishu_doc" TargetMode="External" Type="http://schemas.openxmlformats.org/officeDocument/2006/relationships/hyperlink"/><Relationship Id="rId5" Target="numbering.xml" Type="http://schemas.openxmlformats.org/officeDocument/2006/relationships/numbering"/><Relationship Id="rId6" Target="http://m.toutiao.com/group/7642202343244694043/" TargetMode="External" Type="http://schemas.openxmlformats.org/officeDocument/2006/relationships/hyperlink"/><Relationship Id="rId7" Target="http://m.toutiao.com/group/7642199265280000547/" TargetMode="External" Type="http://schemas.openxmlformats.org/officeDocument/2006/relationships/hyperlink"/><Relationship Id="rId8" Target="https://m.sohu.com/a/1025413517_122014422/" TargetMode="External" Type="http://schemas.openxmlformats.org/officeDocument/2006/relationships/hyperlink"/><Relationship Id="rId9" Target="http://m.toutiao.com/group/7642199265280000547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2026-05-21T06:40:48Z</dcterms:created>
  <dc:creator>Apache POI</dc:creator>
</cp:coreProperties>
</file>