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每日投资市场日报 | 2026-05-20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本文档由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飞书 aily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创建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核心要点摘要</w:t>
            </w:r>
            <w:r>
              <w:rPr>
                <w:rFonts w:eastAsia="等线" w:ascii="Arial" w:cs="Arial" w:hAnsi="Arial"/>
                <w:sz w:val="22"/>
              </w:rPr>
              <w:t>：2026年5月20日，A股市场呈现</w:t>
            </w:r>
            <w:r>
              <w:rPr>
                <w:rFonts w:eastAsia="等线" w:ascii="Arial" w:cs="Arial" w:hAnsi="Arial"/>
                <w:b w:val="true"/>
                <w:sz w:val="22"/>
              </w:rPr>
              <w:t>结构性修复</w:t>
            </w:r>
            <w:r>
              <w:rPr>
                <w:rFonts w:eastAsia="等线" w:ascii="Arial" w:cs="Arial" w:hAnsi="Arial"/>
                <w:sz w:val="22"/>
              </w:rPr>
              <w:t>，科创50领涨3.81%，半导体板块获主力资金净流入</w:t>
            </w:r>
            <w:r>
              <w:rPr>
                <w:rFonts w:eastAsia="等线" w:ascii="Arial" w:cs="Arial" w:hAnsi="Arial"/>
                <w:b w:val="true"/>
                <w:sz w:val="22"/>
              </w:rPr>
              <w:t>149.57亿元</w:t>
            </w:r>
            <w:r>
              <w:rPr>
                <w:rFonts w:eastAsia="等线" w:ascii="Arial" w:cs="Arial" w:hAnsi="Arial"/>
                <w:sz w:val="22"/>
              </w:rPr>
              <w:t>。政策层面，国家数据局发布《2026年数字经济发展工作要点》，为数据要素市场建设提供明确指引。外围市场承压，美股三大指数集体收跌，30年期美债收益率突破</w:t>
            </w:r>
            <w:r>
              <w:rPr>
                <w:rFonts w:eastAsia="等线" w:ascii="Arial" w:cs="Arial" w:hAnsi="Arial"/>
                <w:b w:val="true"/>
                <w:sz w:val="22"/>
              </w:rPr>
              <w:t>5%</w:t>
            </w:r>
            <w:r>
              <w:rPr>
                <w:rFonts w:eastAsia="等线" w:ascii="Arial" w:cs="Arial" w:hAnsi="Arial"/>
                <w:sz w:val="22"/>
              </w:rPr>
              <w:t>，创2007年以来新高，对全球风险偏好形成压制。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一、今日市场概览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截至2026年5月19日收盘，A股主要指数走出探底回升行情，</w:t>
      </w:r>
      <w:r>
        <w:rPr>
          <w:rFonts w:eastAsia="等线" w:ascii="Arial" w:cs="Arial" w:hAnsi="Arial"/>
          <w:b w:val="true"/>
          <w:sz w:val="22"/>
        </w:rPr>
        <w:t>科创50</w:t>
      </w:r>
      <w:r>
        <w:rPr>
          <w:rFonts w:eastAsia="等线" w:ascii="Arial" w:cs="Arial" w:hAnsi="Arial"/>
          <w:sz w:val="22"/>
        </w:rPr>
        <w:t>表现尤为亮眼，单日涨幅达</w:t>
      </w:r>
      <w:r>
        <w:rPr>
          <w:rFonts w:eastAsia="等线" w:ascii="Arial" w:cs="Arial" w:hAnsi="Arial"/>
          <w:b w:val="true"/>
          <w:sz w:val="22"/>
        </w:rPr>
        <w:t>3.81%</w:t>
      </w:r>
      <w:r>
        <w:rPr>
          <w:rFonts w:eastAsia="等线" w:ascii="Arial" w:cs="Arial" w:hAnsi="Arial"/>
          <w:sz w:val="22"/>
        </w:rPr>
        <w:t>，显示科技成长风格占优。整体市场呈现修复态势，但内部分化显著。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主要指数表现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收盘点位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涨跌幅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上证指数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4169.54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+0.92%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深证成指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15569.91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+0.26%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创业板指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3908.44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-0.16%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科创50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+3.81%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沪深300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+0.40%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+0.86%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中证1000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+1.01%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市场数据概览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外围市场动态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隔夜美股三大指数集体收跌，</w:t>
      </w:r>
      <w:r>
        <w:rPr>
          <w:rFonts w:eastAsia="等线" w:ascii="Arial" w:cs="Arial" w:hAnsi="Arial"/>
          <w:b w:val="true"/>
          <w:sz w:val="22"/>
        </w:rPr>
        <w:t>标普500指数</w:t>
      </w:r>
      <w:r>
        <w:rPr>
          <w:rFonts w:eastAsia="等线" w:ascii="Arial" w:cs="Arial" w:hAnsi="Arial"/>
          <w:sz w:val="22"/>
        </w:rPr>
        <w:t>录得三连跌。</w:t>
      </w:r>
      <w:r>
        <w:rPr>
          <w:rFonts w:eastAsia="等线" w:ascii="Arial" w:cs="Arial" w:hAnsi="Arial"/>
          <w:b w:val="true"/>
          <w:sz w:val="22"/>
        </w:rPr>
        <w:t>30年期美债收益率突破5%</w:t>
      </w:r>
      <w:r>
        <w:rPr>
          <w:rFonts w:eastAsia="等线" w:ascii="Arial" w:cs="Arial" w:hAnsi="Arial"/>
          <w:sz w:val="22"/>
        </w:rPr>
        <w:t>，刷新2007年以来最高纪录，引发全球债市抛售风暴，对高估值科技板块形成明显压制</w:t>
      </w:r>
      <w:hyperlink r:id="rId6">
        <w:r>
          <w:rPr>
            <w:rFonts w:eastAsia="等线" w:ascii="Arial" w:cs="Arial" w:hAnsi="Arial"/>
            <w:color w:val="3370ff"/>
            <w:sz w:val="22"/>
          </w:rPr>
          <w:t>[7]</w:t>
        </w:r>
      </w:hyperlink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收盘点位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涨跌幅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道琼斯工业指数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49686.12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-0.65%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标普500指数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7403.05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-0.67%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纳斯达克综合指数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26090.73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-0.84%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纳斯达克100指数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28994.30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-0.50%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二、市场资讯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政策要闻（国内）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国家数据局印发《2026年数字经济发展工作要点》</w:t>
      </w:r>
      <w:r>
        <w:rPr>
          <w:rFonts w:eastAsia="等线" w:ascii="Arial" w:cs="Arial" w:hAnsi="Arial"/>
          <w:sz w:val="22"/>
        </w:rPr>
        <w:t xml:space="preserve"> </w:t>
      </w:r>
      <w:hyperlink r:id="rId7">
        <w:r>
          <w:rPr>
            <w:rFonts w:eastAsia="等线" w:ascii="Arial" w:cs="Arial" w:hAnsi="Arial"/>
            <w:color w:val="3370ff"/>
            <w:sz w:val="22"/>
          </w:rPr>
          <w:t>[1]</w:t>
        </w:r>
      </w:hyperlink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：2026年5月19日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：文件明确将加快建立</w:t>
      </w:r>
      <w:r>
        <w:rPr>
          <w:rFonts w:eastAsia="等线" w:ascii="Arial" w:cs="Arial" w:hAnsi="Arial"/>
          <w:b w:val="true"/>
          <w:sz w:val="22"/>
        </w:rPr>
        <w:t>全国统一数据产权登记制度</w:t>
      </w:r>
      <w:r>
        <w:rPr>
          <w:rFonts w:eastAsia="等线" w:ascii="Arial" w:cs="Arial" w:hAnsi="Arial"/>
          <w:sz w:val="22"/>
        </w:rPr>
        <w:t>，印发登记指引，并推动各地建立公共数据授权运营价格形成机制。此举旨在为数据要素市场化配置奠定制度基础。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深交所受理创业板第四套上市标准首单IPO</w:t>
      </w:r>
      <w:r>
        <w:rPr>
          <w:rFonts w:eastAsia="等线" w:ascii="Arial" w:cs="Arial" w:hAnsi="Arial"/>
          <w:sz w:val="22"/>
        </w:rPr>
        <w:t xml:space="preserve"> </w:t>
      </w:r>
      <w:hyperlink r:id="rId9">
        <w:r>
          <w:rPr>
            <w:rFonts w:eastAsia="等线" w:ascii="Arial" w:cs="Arial" w:hAnsi="Arial"/>
            <w:color w:val="3370ff"/>
            <w:sz w:val="22"/>
          </w:rPr>
          <w:t>[1]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：2026年5月19日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：乐聚智能创业板IPO申请获受理，成为首家选用“预计市值不低于50亿元，且最近一年营业收入不低于5亿元”标准的申报企业。此举对</w:t>
      </w:r>
      <w:r>
        <w:rPr>
          <w:rFonts w:eastAsia="等线" w:ascii="Arial" w:cs="Arial" w:hAnsi="Arial"/>
          <w:b w:val="true"/>
          <w:sz w:val="22"/>
        </w:rPr>
        <w:t>新兴产业、未来产业</w:t>
      </w:r>
      <w:r>
        <w:rPr>
          <w:rFonts w:eastAsia="等线" w:ascii="Arial" w:cs="Arial" w:hAnsi="Arial"/>
          <w:sz w:val="22"/>
        </w:rPr>
        <w:t>企业对接资本市场具有示范效应。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证监会：长江存储启动IPO辅导</w:t>
      </w:r>
      <w:r>
        <w:rPr>
          <w:rFonts w:eastAsia="等线" w:ascii="Arial" w:cs="Arial" w:hAnsi="Arial"/>
          <w:sz w:val="22"/>
        </w:rPr>
        <w:t xml:space="preserve"> </w:t>
      </w:r>
      <w:hyperlink r:id="rId10">
        <w:r>
          <w:rPr>
            <w:rFonts w:eastAsia="等线" w:ascii="Arial" w:cs="Arial" w:hAnsi="Arial"/>
            <w:color w:val="3370ff"/>
            <w:sz w:val="22"/>
          </w:rPr>
          <w:t>[2]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：2026年5月20日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：国产存储芯片龙头企业长江存储控股股份有限公司启动IPO辅导，释放半导体产业链持续扩张的积极信号。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海外动态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美联储利率预期：6月暂停，年末加息概率超80%</w:t>
      </w:r>
      <w:r>
        <w:rPr>
          <w:rFonts w:eastAsia="等线" w:ascii="Arial" w:cs="Arial" w:hAnsi="Arial"/>
          <w:sz w:val="22"/>
        </w:rPr>
        <w:t xml:space="preserve"> </w:t>
      </w:r>
      <w:hyperlink r:id="rId11">
        <w:r>
          <w:rPr>
            <w:rFonts w:eastAsia="等线" w:ascii="Arial" w:cs="Arial" w:hAnsi="Arial"/>
            <w:color w:val="3370ff"/>
            <w:sz w:val="22"/>
          </w:rPr>
          <w:t>[7]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：2026年5月19日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：CME美联储观察数据显示，美联储6月维持利率不变的概率为</w:t>
      </w:r>
      <w:r>
        <w:rPr>
          <w:rFonts w:eastAsia="等线" w:ascii="Arial" w:cs="Arial" w:hAnsi="Arial"/>
          <w:b w:val="true"/>
          <w:sz w:val="22"/>
        </w:rPr>
        <w:t>99%</w:t>
      </w:r>
      <w:r>
        <w:rPr>
          <w:rFonts w:eastAsia="等线" w:ascii="Arial" w:cs="Arial" w:hAnsi="Arial"/>
          <w:sz w:val="22"/>
        </w:rPr>
        <w:t>。然而，利率互换市场显示，美联储到2026年底的加息概率</w:t>
      </w:r>
      <w:r>
        <w:rPr>
          <w:rFonts w:eastAsia="等线" w:ascii="Arial" w:cs="Arial" w:hAnsi="Arial"/>
          <w:b w:val="true"/>
          <w:sz w:val="22"/>
        </w:rPr>
        <w:t>超过80%</w:t>
      </w:r>
      <w:r>
        <w:rPr>
          <w:rFonts w:eastAsia="等线" w:ascii="Arial" w:cs="Arial" w:hAnsi="Arial"/>
          <w:sz w:val="22"/>
        </w:rPr>
        <w:t>，长期利率上行压力持续。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美国出台新一轮涉伊朗制裁措施</w:t>
      </w:r>
      <w:r>
        <w:rPr>
          <w:rFonts w:eastAsia="等线" w:ascii="Arial" w:cs="Arial" w:hAnsi="Arial"/>
          <w:sz w:val="22"/>
        </w:rPr>
        <w:t xml:space="preserve"> </w:t>
      </w:r>
      <w:hyperlink r:id="rId12">
        <w:r>
          <w:rPr>
            <w:rFonts w:eastAsia="等线" w:ascii="Arial" w:cs="Arial" w:hAnsi="Arial"/>
            <w:color w:val="3370ff"/>
            <w:sz w:val="22"/>
          </w:rPr>
          <w:t>[8]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：2026年5月20日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：美国财政部官网发布新一轮涉伊朗制裁。中国常驻联合国代表呼吁各方保持克制，避免海湾局势进一步升级，地缘政治风险仍需关注。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产业与公司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半导体设备与存储芯片订单火爆</w:t>
      </w:r>
      <w:r>
        <w:rPr>
          <w:rFonts w:eastAsia="等线" w:ascii="Arial" w:cs="Arial" w:hAnsi="Arial"/>
          <w:sz w:val="22"/>
        </w:rPr>
        <w:t xml:space="preserve"> </w:t>
      </w:r>
      <w:hyperlink r:id="rId13">
        <w:r>
          <w:rPr>
            <w:rFonts w:eastAsia="等线" w:ascii="Arial" w:cs="Arial" w:hAnsi="Arial"/>
            <w:color w:val="3370ff"/>
            <w:sz w:val="22"/>
          </w:rPr>
          <w:t>[3]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：2026年5月20日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：半导体设备、存储芯片订单持续火爆，部分龙头公司业绩同比暴增</w:t>
      </w:r>
      <w:r>
        <w:rPr>
          <w:rFonts w:eastAsia="等线" w:ascii="Arial" w:cs="Arial" w:hAnsi="Arial"/>
          <w:b w:val="true"/>
          <w:sz w:val="22"/>
        </w:rPr>
        <w:t>300%以上</w:t>
      </w:r>
      <w:r>
        <w:rPr>
          <w:rFonts w:eastAsia="等线" w:ascii="Arial" w:cs="Arial" w:hAnsi="Arial"/>
          <w:sz w:val="22"/>
        </w:rPr>
        <w:t>，订单已排至2027年，反映下游需求强劲。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谷歌发布Gemini 3.5系列AI模型</w:t>
      </w:r>
      <w:r>
        <w:rPr>
          <w:rFonts w:eastAsia="等线" w:ascii="Arial" w:cs="Arial" w:hAnsi="Arial"/>
          <w:sz w:val="22"/>
        </w:rPr>
        <w:t xml:space="preserve"> </w:t>
      </w:r>
      <w:hyperlink r:id="rId14">
        <w:r>
          <w:rPr>
            <w:rFonts w:eastAsia="等线" w:ascii="Arial" w:cs="Arial" w:hAnsi="Arial"/>
            <w:color w:val="3370ff"/>
            <w:sz w:val="22"/>
          </w:rPr>
          <w:t>[1]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</w:t>
      </w:r>
      <w:r>
        <w:rPr>
          <w:rFonts w:eastAsia="等线" w:ascii="Arial" w:cs="Arial" w:hAnsi="Arial"/>
          <w:sz w:val="22"/>
        </w:rPr>
        <w:t>：2026年5月19日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</w:t>
      </w:r>
      <w:r>
        <w:rPr>
          <w:rFonts w:eastAsia="等线" w:ascii="Arial" w:cs="Arial" w:hAnsi="Arial"/>
          <w:sz w:val="22"/>
        </w:rPr>
        <w:t>：谷歌在I/O开发者大会上推出Gemini 3.5系列，其中Gemini 3.5 Flash面向全球用户免费开放。官方数据显示，Gemini AI应用月活跃用户已达</w:t>
      </w:r>
      <w:r>
        <w:rPr>
          <w:rFonts w:eastAsia="等线" w:ascii="Arial" w:cs="Arial" w:hAnsi="Arial"/>
          <w:b w:val="true"/>
          <w:sz w:val="22"/>
        </w:rPr>
        <w:t>9亿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三、主力资金动向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北向资金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当日流向</w:t>
      </w:r>
      <w:r>
        <w:rPr>
          <w:rFonts w:eastAsia="等线" w:ascii="Arial" w:cs="Arial" w:hAnsi="Arial"/>
          <w:sz w:val="22"/>
        </w:rPr>
        <w:t>：净流入超</w:t>
      </w:r>
      <w:r>
        <w:rPr>
          <w:rFonts w:eastAsia="等线" w:ascii="Arial" w:cs="Arial" w:hAnsi="Arial"/>
          <w:b w:val="true"/>
          <w:sz w:val="22"/>
        </w:rPr>
        <w:t>23亿元</w:t>
      </w:r>
      <w:r>
        <w:rPr>
          <w:rFonts w:eastAsia="等线" w:ascii="Arial" w:cs="Arial" w:hAnsi="Arial"/>
          <w:sz w:val="22"/>
        </w:rPr>
        <w:t>，主要流向电力、农业板块。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隔夜情况</w:t>
      </w:r>
      <w:r>
        <w:rPr>
          <w:rFonts w:eastAsia="等线" w:ascii="Arial" w:cs="Arial" w:hAnsi="Arial"/>
          <w:sz w:val="22"/>
        </w:rPr>
        <w:t>：前一交易日净流出50亿元，今日呈现回流态势，但持续性有待观察。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板块资金流向TOP5（5月20日）</w:t>
      </w:r>
      <w:bookmarkEnd w:id="9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0"/>
              </w:rPr>
              <w:t>净流入板块</w:t>
            </w:r>
            <w:bookmarkEnd w:id="10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305"/>
              <w:gridCol w:w="1305"/>
              <w:gridCol w:w="1305"/>
            </w:tblGrid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排名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板块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净流入金额</w:t>
                  </w:r>
                </w:p>
              </w:tc>
            </w:tr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1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半导体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149.57亿元</w:t>
                  </w:r>
                </w:p>
              </w:tc>
            </w:tr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电子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—</w:t>
                  </w:r>
                </w:p>
              </w:tc>
            </w:tr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电力设备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30亿元+</w:t>
                  </w:r>
                </w:p>
              </w:tc>
            </w:tr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电力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30亿元+</w:t>
                  </w:r>
                </w:p>
              </w:tc>
            </w:tr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AI硬科技</w:t>
                  </w:r>
                </w:p>
              </w:tc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—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30"/>
              </w:rPr>
              <w:t>净流出板块</w:t>
            </w:r>
            <w:bookmarkEnd w:id="11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950"/>
              <w:gridCol w:w="1950"/>
            </w:tblGrid>
            <w:tr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排名</w:t>
                  </w:r>
                </w:p>
              </w:tc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板块</w:t>
                  </w:r>
                </w:p>
              </w:tc>
            </w:tr>
            <w:tr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1</w:t>
                  </w:r>
                </w:p>
              </w:tc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计算机</w:t>
                  </w:r>
                </w:p>
              </w:tc>
            </w:tr>
            <w:tr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2</w:t>
                  </w:r>
                </w:p>
              </w:tc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非银金融</w:t>
                  </w:r>
                </w:p>
              </w:tc>
            </w:tr>
            <w:tr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3</w:t>
                  </w:r>
                </w:p>
              </w:tc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文化传媒</w:t>
                  </w:r>
                </w:p>
              </w:tc>
            </w:tr>
            <w:tr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4</w:t>
                  </w:r>
                </w:p>
              </w:tc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—</w:t>
                  </w:r>
                </w:p>
              </w:tc>
            </w:tr>
            <w:tr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  <w:tc>
                <w:tcPr>
                  <w:tcW w:w="19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—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：财联社</w:t>
      </w:r>
      <w:hyperlink r:id="rId15">
        <w:r>
          <w:rPr>
            <w:rFonts w:eastAsia="等线" w:ascii="Arial" w:cs="Arial" w:hAnsi="Arial"/>
            <w:color w:val="3370ff"/>
            <w:sz w:val="22"/>
          </w:rPr>
          <w:t>[4]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重点个股资金动向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华工科技</w:t>
      </w:r>
      <w:r>
        <w:rPr>
          <w:rFonts w:eastAsia="等线" w:ascii="Arial" w:cs="Arial" w:hAnsi="Arial"/>
          <w:sz w:val="22"/>
        </w:rPr>
        <w:t>（光模块）获净流入</w:t>
      </w:r>
      <w:r>
        <w:rPr>
          <w:rFonts w:eastAsia="等线" w:ascii="Arial" w:cs="Arial" w:hAnsi="Arial"/>
          <w:b w:val="true"/>
          <w:sz w:val="22"/>
        </w:rPr>
        <w:t>22.02亿元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工业富联</w:t>
      </w:r>
      <w:r>
        <w:rPr>
          <w:rFonts w:eastAsia="等线" w:ascii="Arial" w:cs="Arial" w:hAnsi="Arial"/>
          <w:sz w:val="22"/>
        </w:rPr>
        <w:t>（AI算力）获净流入</w:t>
      </w:r>
      <w:r>
        <w:rPr>
          <w:rFonts w:eastAsia="等线" w:ascii="Arial" w:cs="Arial" w:hAnsi="Arial"/>
          <w:b w:val="true"/>
          <w:sz w:val="22"/>
        </w:rPr>
        <w:t>10.82亿元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药明康德</w:t>
      </w:r>
      <w:r>
        <w:rPr>
          <w:rFonts w:eastAsia="等线" w:ascii="Arial" w:cs="Arial" w:hAnsi="Arial"/>
          <w:sz w:val="22"/>
        </w:rPr>
        <w:t>（医药）获净流入</w:t>
      </w:r>
      <w:r>
        <w:rPr>
          <w:rFonts w:eastAsia="等线" w:ascii="Arial" w:cs="Arial" w:hAnsi="Arial"/>
          <w:b w:val="true"/>
          <w:sz w:val="22"/>
        </w:rPr>
        <w:t>10.39亿元</w:t>
      </w:r>
      <w:r>
        <w:rPr>
          <w:rFonts w:eastAsia="等线" w:ascii="Arial" w:cs="Arial" w:hAnsi="Arial"/>
          <w:sz w:val="22"/>
        </w:rPr>
        <w:t>，显示大资金在</w:t>
      </w:r>
      <w:r>
        <w:rPr>
          <w:rFonts w:eastAsia="等线" w:ascii="Arial" w:cs="Arial" w:hAnsi="Arial"/>
          <w:b w:val="true"/>
          <w:sz w:val="22"/>
        </w:rPr>
        <w:t>AI硬科技</w:t>
      </w:r>
      <w:r>
        <w:rPr>
          <w:rFonts w:eastAsia="等线" w:ascii="Arial" w:cs="Arial" w:hAnsi="Arial"/>
          <w:sz w:val="22"/>
        </w:rPr>
        <w:t>与部分超跌白马股中积极布局。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四、当前市场风口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AI硬科技（最强主线）</w:t>
      </w:r>
      <w:bookmarkEnd w:id="1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政策催化</w:t>
      </w:r>
      <w:r>
        <w:rPr>
          <w:rFonts w:eastAsia="等线" w:ascii="Arial" w:cs="Arial" w:hAnsi="Arial"/>
          <w:sz w:val="22"/>
        </w:rPr>
        <w:t>（数字经济工作要点）、</w:t>
      </w:r>
      <w:r>
        <w:rPr>
          <w:rFonts w:eastAsia="等线" w:ascii="Arial" w:cs="Arial" w:hAnsi="Arial"/>
          <w:b w:val="true"/>
          <w:sz w:val="22"/>
        </w:rPr>
        <w:t>业绩支撑</w:t>
      </w:r>
      <w:r>
        <w:rPr>
          <w:rFonts w:eastAsia="等线" w:ascii="Arial" w:cs="Arial" w:hAnsi="Arial"/>
          <w:sz w:val="22"/>
        </w:rPr>
        <w:t>（半导体龙头业绩暴增）、</w:t>
      </w:r>
      <w:r>
        <w:rPr>
          <w:rFonts w:eastAsia="等线" w:ascii="Arial" w:cs="Arial" w:hAnsi="Arial"/>
          <w:b w:val="true"/>
          <w:sz w:val="22"/>
        </w:rPr>
        <w:t>资金抱团</w:t>
      </w:r>
      <w:r>
        <w:rPr>
          <w:rFonts w:eastAsia="等线" w:ascii="Arial" w:cs="Arial" w:hAnsi="Arial"/>
          <w:sz w:val="22"/>
        </w:rPr>
        <w:t>（单日净流入149亿）形成三重共振。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细分方向</w:t>
      </w:r>
      <w:r>
        <w:rPr>
          <w:rFonts w:eastAsia="等线" w:ascii="Arial" w:cs="Arial" w:hAnsi="Arial"/>
          <w:sz w:val="22"/>
        </w:rPr>
        <w:t>：半导体设备、存储芯片、光模块、AI算力为核心赛道。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电力板块</w:t>
      </w:r>
      <w:bookmarkEnd w:id="1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：具备</w:t>
      </w:r>
      <w:r>
        <w:rPr>
          <w:rFonts w:eastAsia="等线" w:ascii="Arial" w:cs="Arial" w:hAnsi="Arial"/>
          <w:b w:val="true"/>
          <w:sz w:val="22"/>
        </w:rPr>
        <w:t>政策支持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业绩稳定</w:t>
      </w:r>
      <w:r>
        <w:rPr>
          <w:rFonts w:eastAsia="等线" w:ascii="Arial" w:cs="Arial" w:hAnsi="Arial"/>
          <w:sz w:val="22"/>
        </w:rPr>
        <w:t>及</w:t>
      </w:r>
      <w:r>
        <w:rPr>
          <w:rFonts w:eastAsia="等线" w:ascii="Arial" w:cs="Arial" w:hAnsi="Arial"/>
          <w:b w:val="true"/>
          <w:sz w:val="22"/>
        </w:rPr>
        <w:t>避险属性</w:t>
      </w:r>
      <w:r>
        <w:rPr>
          <w:rFonts w:eastAsia="等线" w:ascii="Arial" w:cs="Arial" w:hAnsi="Arial"/>
          <w:sz w:val="22"/>
        </w:rPr>
        <w:t>。京能电力走出5连板（今日断板），连续获得机构、游资与北向资金合力锁仓。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人形机器人</w:t>
      </w:r>
      <w:bookmarkEnd w:id="1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：产业催化事件驱动。</w:t>
      </w:r>
      <w:r>
        <w:rPr>
          <w:rFonts w:eastAsia="等线" w:ascii="Arial" w:cs="Arial" w:hAnsi="Arial"/>
          <w:b w:val="true"/>
          <w:sz w:val="22"/>
        </w:rPr>
        <w:t>杭州柯林</w:t>
      </w:r>
      <w:r>
        <w:rPr>
          <w:rFonts w:eastAsia="等线" w:ascii="Arial" w:cs="Arial" w:hAnsi="Arial"/>
          <w:sz w:val="22"/>
        </w:rPr>
        <w:t>公告拟以不超过3亿元收购开普勒机器人41.57%股权，交易完成后将拿下控股权</w:t>
      </w:r>
      <w:hyperlink r:id="rId16">
        <w:r>
          <w:rPr>
            <w:rFonts w:eastAsia="等线" w:ascii="Arial" w:cs="Arial" w:hAnsi="Arial"/>
            <w:color w:val="3370ff"/>
            <w:sz w:val="22"/>
          </w:rPr>
          <w:t>[5]</w:t>
        </w:r>
      </w:hyperlink>
      <w:r>
        <w:rPr>
          <w:rFonts w:eastAsia="等线" w:ascii="Arial" w:cs="Arial" w:hAnsi="Arial"/>
          <w:sz w:val="22"/>
        </w:rPr>
        <w:t>。方正电机作为概念人气龙头表现强势。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投资风险评估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五、投资参考</w:t>
      </w:r>
      <w:bookmarkEnd w:id="17"/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关键观察信号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科技风格占优</w:t>
            </w:r>
            <w:r>
              <w:rPr>
                <w:rFonts w:eastAsia="等线" w:ascii="Arial" w:cs="Arial" w:hAnsi="Arial"/>
                <w:sz w:val="22"/>
              </w:rPr>
              <w:t>：科创50大涨3.81%，半导体获天量资金流入，短期科技成长主线明确。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政策底部明确</w:t>
            </w:r>
            <w:r>
              <w:rPr>
                <w:rFonts w:eastAsia="等线" w:ascii="Arial" w:cs="Arial" w:hAnsi="Arial"/>
                <w:sz w:val="22"/>
              </w:rPr>
              <w:t>：多部委联手“稳市场、强信心”，数据要素、资本市场改革政策接连落地。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流动性预期变化</w:t>
            </w:r>
            <w:r>
              <w:rPr>
                <w:rFonts w:eastAsia="等线" w:ascii="Arial" w:cs="Arial" w:hAnsi="Arial"/>
                <w:sz w:val="22"/>
              </w:rPr>
              <w:t>：美债收益率飙升压制全球估值，需关注其对A股高估值板块的传导效应。</w:t>
            </w:r>
          </w:p>
        </w:tc>
      </w:tr>
    </w:tbl>
    <w:p/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主要风险提示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外围市场压力</w:t>
            </w:r>
            <w:r>
              <w:rPr>
                <w:rFonts w:eastAsia="等线" w:ascii="Arial" w:cs="Arial" w:hAnsi="Arial"/>
                <w:sz w:val="22"/>
              </w:rPr>
              <w:t>：美股连续调整，纳指连跌，美债收益率创新高，可能通过情绪和估值渠道影响A股。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资金面波动</w:t>
            </w:r>
            <w:r>
              <w:rPr>
                <w:rFonts w:eastAsia="等线" w:ascii="Arial" w:cs="Arial" w:hAnsi="Arial"/>
                <w:sz w:val="22"/>
              </w:rPr>
              <w:t>：北向资金流向反复，隔夜大额流出后虽现回流，但其持续性与稳定性需紧密跟踪。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板块内部分化</w:t>
            </w:r>
            <w:r>
              <w:rPr>
                <w:rFonts w:eastAsia="等线" w:ascii="Arial" w:cs="Arial" w:hAnsi="Arial"/>
                <w:sz w:val="22"/>
              </w:rPr>
              <w:t>：硬科技主线涨幅已高，需警惕高位滞涨风险；市场轮动加速，盲目追高风险增大。</w:t>
            </w:r>
          </w:p>
        </w:tc>
      </w:tr>
    </w:tbl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0131">
    <w:lvl>
      <w:numFmt w:val="bullet"/>
      <w:suff w:val="tab"/>
      <w:lvlText w:val="•"/>
      <w:rPr>
        <w:color w:val="3370ff"/>
      </w:rPr>
    </w:lvl>
  </w:abstractNum>
  <w:abstractNum w:abstractNumId="940132">
    <w:lvl>
      <w:numFmt w:val="bullet"/>
      <w:suff w:val="tab"/>
      <w:lvlText w:val="•"/>
      <w:rPr>
        <w:color w:val="3370ff"/>
      </w:rPr>
    </w:lvl>
  </w:abstractNum>
  <w:abstractNum w:abstractNumId="940133">
    <w:lvl>
      <w:numFmt w:val="bullet"/>
      <w:suff w:val="tab"/>
      <w:lvlText w:val="•"/>
      <w:rPr>
        <w:color w:val="3370ff"/>
      </w:rPr>
    </w:lvl>
  </w:abstractNum>
  <w:abstractNum w:abstractNumId="940134">
    <w:lvl>
      <w:numFmt w:val="bullet"/>
      <w:suff w:val="tab"/>
      <w:lvlText w:val="•"/>
      <w:rPr>
        <w:color w:val="3370ff"/>
      </w:rPr>
    </w:lvl>
  </w:abstractNum>
  <w:abstractNum w:abstractNumId="940135">
    <w:lvl>
      <w:numFmt w:val="bullet"/>
      <w:suff w:val="tab"/>
      <w:lvlText w:val="•"/>
      <w:rPr>
        <w:color w:val="3370ff"/>
      </w:rPr>
    </w:lvl>
  </w:abstractNum>
  <w:abstractNum w:abstractNumId="940136">
    <w:lvl>
      <w:numFmt w:val="bullet"/>
      <w:suff w:val="tab"/>
      <w:lvlText w:val="•"/>
      <w:rPr>
        <w:color w:val="3370ff"/>
      </w:rPr>
    </w:lvl>
  </w:abstractNum>
  <w:abstractNum w:abstractNumId="940137">
    <w:lvl>
      <w:numFmt w:val="bullet"/>
      <w:suff w:val="tab"/>
      <w:lvlText w:val="•"/>
      <w:rPr>
        <w:color w:val="3370ff"/>
      </w:rPr>
    </w:lvl>
  </w:abstractNum>
  <w:abstractNum w:abstractNumId="940138">
    <w:lvl>
      <w:numFmt w:val="bullet"/>
      <w:suff w:val="tab"/>
      <w:lvlText w:val="•"/>
      <w:rPr>
        <w:color w:val="3370ff"/>
      </w:rPr>
    </w:lvl>
  </w:abstractNum>
  <w:abstractNum w:abstractNumId="940139">
    <w:lvl>
      <w:numFmt w:val="bullet"/>
      <w:suff w:val="tab"/>
      <w:lvlText w:val="•"/>
      <w:rPr>
        <w:color w:val="3370ff"/>
      </w:rPr>
    </w:lvl>
  </w:abstractNum>
  <w:abstractNum w:abstractNumId="940140">
    <w:lvl>
      <w:numFmt w:val="bullet"/>
      <w:suff w:val="tab"/>
      <w:lvlText w:val="•"/>
      <w:rPr>
        <w:color w:val="3370ff"/>
      </w:rPr>
    </w:lvl>
  </w:abstractNum>
  <w:abstractNum w:abstractNumId="940141">
    <w:lvl>
      <w:numFmt w:val="bullet"/>
      <w:suff w:val="tab"/>
      <w:lvlText w:val="•"/>
      <w:rPr>
        <w:color w:val="3370ff"/>
      </w:rPr>
    </w:lvl>
  </w:abstractNum>
  <w:abstractNum w:abstractNumId="940142">
    <w:lvl>
      <w:numFmt w:val="bullet"/>
      <w:suff w:val="tab"/>
      <w:lvlText w:val="•"/>
      <w:rPr>
        <w:color w:val="3370ff"/>
      </w:rPr>
    </w:lvl>
  </w:abstractNum>
  <w:abstractNum w:abstractNumId="940143">
    <w:lvl>
      <w:numFmt w:val="bullet"/>
      <w:suff w:val="tab"/>
      <w:lvlText w:val="•"/>
      <w:rPr>
        <w:color w:val="3370ff"/>
      </w:rPr>
    </w:lvl>
  </w:abstractNum>
  <w:abstractNum w:abstractNumId="940144">
    <w:lvl>
      <w:numFmt w:val="bullet"/>
      <w:suff w:val="tab"/>
      <w:lvlText w:val="•"/>
      <w:rPr>
        <w:color w:val="3370ff"/>
      </w:rPr>
    </w:lvl>
  </w:abstractNum>
  <w:abstractNum w:abstractNumId="940145">
    <w:lvl>
      <w:numFmt w:val="bullet"/>
      <w:suff w:val="tab"/>
      <w:lvlText w:val="•"/>
      <w:rPr>
        <w:color w:val="3370ff"/>
      </w:rPr>
    </w:lvl>
  </w:abstractNum>
  <w:abstractNum w:abstractNumId="940146">
    <w:lvl>
      <w:numFmt w:val="bullet"/>
      <w:suff w:val="tab"/>
      <w:lvlText w:val="•"/>
      <w:rPr>
        <w:color w:val="3370ff"/>
      </w:rPr>
    </w:lvl>
  </w:abstractNum>
  <w:abstractNum w:abstractNumId="940147">
    <w:lvl>
      <w:numFmt w:val="bullet"/>
      <w:suff w:val="tab"/>
      <w:lvlText w:val="•"/>
      <w:rPr>
        <w:color w:val="3370ff"/>
      </w:rPr>
    </w:lvl>
  </w:abstractNum>
  <w:abstractNum w:abstractNumId="940148">
    <w:lvl>
      <w:numFmt w:val="bullet"/>
      <w:suff w:val="tab"/>
      <w:lvlText w:val="•"/>
      <w:rPr>
        <w:color w:val="3370ff"/>
      </w:rPr>
    </w:lvl>
  </w:abstractNum>
  <w:abstractNum w:abstractNumId="940149">
    <w:lvl>
      <w:numFmt w:val="bullet"/>
      <w:suff w:val="tab"/>
      <w:lvlText w:val="•"/>
      <w:rPr>
        <w:color w:val="3370ff"/>
      </w:rPr>
    </w:lvl>
  </w:abstractNum>
  <w:abstractNum w:abstractNumId="940150">
    <w:lvl>
      <w:numFmt w:val="bullet"/>
      <w:suff w:val="tab"/>
      <w:lvlText w:val="•"/>
      <w:rPr>
        <w:color w:val="3370ff"/>
      </w:rPr>
    </w:lvl>
  </w:abstractNum>
  <w:abstractNum w:abstractNumId="940151">
    <w:lvl>
      <w:start w:val="1"/>
      <w:numFmt w:val="decimal"/>
      <w:suff w:val="tab"/>
      <w:lvlText w:val="%1."/>
      <w:rPr>
        <w:color w:val="3370ff"/>
      </w:rPr>
    </w:lvl>
  </w:abstractNum>
  <w:abstractNum w:abstractNumId="940152">
    <w:lvl>
      <w:start w:val="2"/>
      <w:numFmt w:val="decimal"/>
      <w:suff w:val="tab"/>
      <w:lvlText w:val="%1."/>
      <w:rPr>
        <w:color w:val="3370ff"/>
      </w:rPr>
    </w:lvl>
  </w:abstractNum>
  <w:abstractNum w:abstractNumId="940153">
    <w:lvl>
      <w:start w:val="3"/>
      <w:numFmt w:val="decimal"/>
      <w:suff w:val="tab"/>
      <w:lvlText w:val="%1."/>
      <w:rPr>
        <w:color w:val="3370ff"/>
      </w:rPr>
    </w:lvl>
  </w:abstractNum>
  <w:abstractNum w:abstractNumId="940154">
    <w:lvl>
      <w:start w:val="1"/>
      <w:numFmt w:val="decimal"/>
      <w:suff w:val="tab"/>
      <w:lvlText w:val="%1."/>
      <w:rPr>
        <w:color w:val="3370ff"/>
      </w:rPr>
    </w:lvl>
  </w:abstractNum>
  <w:abstractNum w:abstractNumId="940155">
    <w:lvl>
      <w:start w:val="2"/>
      <w:numFmt w:val="decimal"/>
      <w:suff w:val="tab"/>
      <w:lvlText w:val="%1."/>
      <w:rPr>
        <w:color w:val="3370ff"/>
      </w:rPr>
    </w:lvl>
  </w:abstractNum>
  <w:abstractNum w:abstractNumId="94015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40131"/>
  </w:num>
  <w:num w:numId="2">
    <w:abstractNumId w:val="940132"/>
  </w:num>
  <w:num w:numId="3">
    <w:abstractNumId w:val="940133"/>
  </w:num>
  <w:num w:numId="4">
    <w:abstractNumId w:val="940134"/>
  </w:num>
  <w:num w:numId="5">
    <w:abstractNumId w:val="940135"/>
  </w:num>
  <w:num w:numId="6">
    <w:abstractNumId w:val="940136"/>
  </w:num>
  <w:num w:numId="7">
    <w:abstractNumId w:val="940137"/>
  </w:num>
  <w:num w:numId="8">
    <w:abstractNumId w:val="940138"/>
  </w:num>
  <w:num w:numId="9">
    <w:abstractNumId w:val="940139"/>
  </w:num>
  <w:num w:numId="10">
    <w:abstractNumId w:val="940140"/>
  </w:num>
  <w:num w:numId="11">
    <w:abstractNumId w:val="940141"/>
  </w:num>
  <w:num w:numId="12">
    <w:abstractNumId w:val="940142"/>
  </w:num>
  <w:num w:numId="13">
    <w:abstractNumId w:val="940143"/>
  </w:num>
  <w:num w:numId="14">
    <w:abstractNumId w:val="940144"/>
  </w:num>
  <w:num w:numId="15">
    <w:abstractNumId w:val="940145"/>
  </w:num>
  <w:num w:numId="16">
    <w:abstractNumId w:val="940146"/>
  </w:num>
  <w:num w:numId="17">
    <w:abstractNumId w:val="940147"/>
  </w:num>
  <w:num w:numId="18">
    <w:abstractNumId w:val="940148"/>
  </w:num>
  <w:num w:numId="19">
    <w:abstractNumId w:val="940149"/>
  </w:num>
  <w:num w:numId="20">
    <w:abstractNumId w:val="940150"/>
  </w:num>
  <w:num w:numId="21">
    <w:abstractNumId w:val="940151"/>
  </w:num>
  <w:num w:numId="22">
    <w:abstractNumId w:val="940152"/>
  </w:num>
  <w:num w:numId="23">
    <w:abstractNumId w:val="940153"/>
  </w:num>
  <w:num w:numId="24">
    <w:abstractNumId w:val="940154"/>
  </w:num>
  <w:num w:numId="25">
    <w:abstractNumId w:val="940155"/>
  </w:num>
  <w:num w:numId="26">
    <w:abstractNumId w:val="9401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m.toutiao.com/group/7641765045202682377/" TargetMode="External" Type="http://schemas.openxmlformats.org/officeDocument/2006/relationships/hyperlink"/><Relationship Id="rId11" Target="http://m.toutiao.com/group/7641760050368791081/" TargetMode="External" Type="http://schemas.openxmlformats.org/officeDocument/2006/relationships/hyperlink"/><Relationship Id="rId12" Target="http://m.toutiao.com/group/7641760050368791081/" TargetMode="External" Type="http://schemas.openxmlformats.org/officeDocument/2006/relationships/hyperlink"/><Relationship Id="rId13" Target="http://m.toutiao.com/group/7641842955774378511/" TargetMode="External" Type="http://schemas.openxmlformats.org/officeDocument/2006/relationships/hyperlink"/><Relationship Id="rId14" Target="http://m.toutiao.com/group/7641742201285804594/" TargetMode="External" Type="http://schemas.openxmlformats.org/officeDocument/2006/relationships/hyperlink"/><Relationship Id="rId15" Target="http://m.toutiao.com/group/7641855044035330598/" TargetMode="External" Type="http://schemas.openxmlformats.org/officeDocument/2006/relationships/hyperlink"/><Relationship Id="rId16" Target="http://m.toutiao.com/group/7641742201285804594/" TargetMode="External" Type="http://schemas.openxmlformats.org/officeDocument/2006/relationships/hyperlink"/><Relationship Id="rId17" Target="media/image2.jpe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ly.feishu.cn/?&amp;open-from=feishu_doc" TargetMode="External" Type="http://schemas.openxmlformats.org/officeDocument/2006/relationships/hyperlink"/><Relationship Id="rId5" Target="media/image1.jpeg" Type="http://schemas.openxmlformats.org/officeDocument/2006/relationships/image"/><Relationship Id="rId6" Target="http://m.toutiao.com/group/7641760050368791081/" TargetMode="External" Type="http://schemas.openxmlformats.org/officeDocument/2006/relationships/hyperlink"/><Relationship Id="rId7" Target="http://m.toutiao.com/group/7641742201285804594/" TargetMode="External" Type="http://schemas.openxmlformats.org/officeDocument/2006/relationships/hyperlink"/><Relationship Id="rId8" Target="numbering.xml" Type="http://schemas.openxmlformats.org/officeDocument/2006/relationships/numbering"/><Relationship Id="rId9" Target="http://m.toutiao.com/group/7641742201285804594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2026-05-20T06:37:34Z</dcterms:created>
  <dc:creator>Apache POI</dc:creator>
</cp:coreProperties>
</file>