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4623535">
      <w:pPr>
        <w:rPr>
          <w:rFonts w:ascii="黑体" w:hAnsi="宋体" w:eastAsia="黑体"/>
          <w:sz w:val="32"/>
          <w:szCs w:val="32"/>
        </w:rPr>
      </w:pPr>
      <w:bookmarkStart w:id="7" w:name="_GoBack"/>
      <w:bookmarkEnd w:id="7"/>
    </w:p>
    <w:p w14:paraId="6BDC4975">
      <w:pPr>
        <w:rPr>
          <w:rFonts w:ascii="黑体" w:hAnsi="宋体" w:eastAsia="黑体"/>
          <w:sz w:val="32"/>
          <w:szCs w:val="32"/>
        </w:rPr>
      </w:pPr>
    </w:p>
    <w:p w14:paraId="23FEF924">
      <w:pPr>
        <w:rPr>
          <w:rFonts w:ascii="黑体" w:hAnsi="宋体" w:eastAsia="黑体"/>
          <w:sz w:val="32"/>
          <w:szCs w:val="32"/>
        </w:rPr>
      </w:pPr>
    </w:p>
    <w:p w14:paraId="1622796D">
      <w:pPr>
        <w:jc w:val="center"/>
        <w:rPr>
          <w:rFonts w:ascii="黑体" w:hAnsi="宋体" w:eastAsia="黑体"/>
          <w:b/>
          <w:sz w:val="52"/>
          <w:szCs w:val="52"/>
        </w:rPr>
      </w:pPr>
      <w:r>
        <w:rPr>
          <w:rFonts w:hint="eastAsia" w:ascii="黑体" w:hAnsi="宋体" w:eastAsia="黑体"/>
          <w:b/>
          <w:sz w:val="52"/>
          <w:szCs w:val="52"/>
        </w:rPr>
        <w:t>中国研究生网络安全创新大赛</w:t>
      </w:r>
    </w:p>
    <w:p w14:paraId="029D1215">
      <w:pPr>
        <w:pStyle w:val="10"/>
        <w:jc w:val="center"/>
        <w:rPr>
          <w:b/>
          <w:sz w:val="52"/>
          <w:szCs w:val="52"/>
        </w:rPr>
      </w:pPr>
      <w:r>
        <w:rPr>
          <w:rFonts w:hint="eastAsia" w:ascii="黑体" w:hAnsi="宋体" w:eastAsia="黑体"/>
          <w:b/>
          <w:sz w:val="52"/>
          <w:szCs w:val="52"/>
        </w:rPr>
        <w:t>作品报告</w:t>
      </w:r>
    </w:p>
    <w:p w14:paraId="176C54A8">
      <w:pPr>
        <w:spacing w:line="360" w:lineRule="auto"/>
        <w:rPr>
          <w:rFonts w:ascii="宋体" w:hAnsi="宋体"/>
          <w:sz w:val="24"/>
        </w:rPr>
      </w:pPr>
    </w:p>
    <w:p w14:paraId="1EABAC47">
      <w:pPr>
        <w:spacing w:line="360" w:lineRule="auto"/>
        <w:rPr>
          <w:rFonts w:ascii="宋体" w:hAnsi="宋体"/>
          <w:sz w:val="24"/>
        </w:rPr>
      </w:pPr>
    </w:p>
    <w:p w14:paraId="1B6DE80E">
      <w:pPr>
        <w:spacing w:line="360" w:lineRule="auto"/>
        <w:rPr>
          <w:rFonts w:ascii="宋体" w:hAnsi="宋体"/>
          <w:sz w:val="24"/>
        </w:rPr>
      </w:pPr>
    </w:p>
    <w:p w14:paraId="3457EA26">
      <w:pPr>
        <w:spacing w:line="360" w:lineRule="auto"/>
        <w:rPr>
          <w:rFonts w:ascii="宋体" w:hAnsi="宋体"/>
          <w:sz w:val="24"/>
        </w:rPr>
      </w:pPr>
    </w:p>
    <w:p w14:paraId="1884F1B1">
      <w:pPr>
        <w:spacing w:line="360" w:lineRule="auto"/>
        <w:rPr>
          <w:rFonts w:ascii="宋体" w:hAnsi="宋体"/>
          <w:sz w:val="24"/>
        </w:rPr>
      </w:pPr>
    </w:p>
    <w:p w14:paraId="39212841">
      <w:pPr>
        <w:spacing w:line="360" w:lineRule="auto"/>
        <w:rPr>
          <w:rFonts w:ascii="宋体" w:hAnsi="宋体"/>
          <w:sz w:val="24"/>
        </w:rPr>
      </w:pPr>
    </w:p>
    <w:p w14:paraId="149290C9">
      <w:pPr>
        <w:spacing w:line="360" w:lineRule="auto"/>
        <w:rPr>
          <w:rFonts w:ascii="宋体" w:hAnsi="宋体"/>
          <w:sz w:val="24"/>
        </w:rPr>
      </w:pPr>
    </w:p>
    <w:p w14:paraId="26B7B458">
      <w:pPr>
        <w:spacing w:line="360" w:lineRule="auto"/>
        <w:rPr>
          <w:rFonts w:ascii="黑体" w:hAnsi="宋体" w:eastAsia="黑体"/>
          <w:b/>
          <w:sz w:val="32"/>
          <w:szCs w:val="32"/>
          <w:u w:val="single"/>
        </w:rPr>
      </w:pPr>
      <w:r>
        <w:rPr>
          <w:rFonts w:ascii="黑体" w:hAnsi="黑体" w:eastAsia="黑体" w:cs="黑体"/>
          <w:b/>
          <w:color w:val="000000"/>
          <w:sz w:val="32"/>
        </w:rPr>
        <w:t>作品名称：密证 CredProof——面向 AI 工具的凭据泄露验证与受控修复系统</w:t>
      </w:r>
    </w:p>
    <w:p w14:paraId="6DF22529">
      <w:pPr>
        <w:autoSpaceDE w:val="0"/>
        <w:autoSpaceDN w:val="0"/>
        <w:adjustRightInd w:val="0"/>
        <w:spacing w:line="360" w:lineRule="auto"/>
        <w:rPr>
          <w:rFonts w:ascii="宋体" w:hAnsi="宋体" w:cs="DFKai-SB"/>
          <w:b/>
          <w:bCs/>
          <w:sz w:val="24"/>
        </w:rPr>
      </w:pPr>
    </w:p>
    <w:p w14:paraId="2ED60A13">
      <w:pPr>
        <w:spacing w:line="360" w:lineRule="auto"/>
        <w:rPr>
          <w:rFonts w:ascii="黑体" w:hAnsi="宋体" w:eastAsia="黑体"/>
          <w:b/>
          <w:sz w:val="32"/>
          <w:szCs w:val="32"/>
          <w:u w:val="single"/>
        </w:rPr>
      </w:pPr>
      <w:r>
        <w:rPr>
          <w:rFonts w:ascii="黑体" w:hAnsi="黑体" w:eastAsia="黑体" w:cs="黑体"/>
          <w:b/>
          <w:color w:val="000000"/>
          <w:sz w:val="32"/>
        </w:rPr>
        <w:t>提交日期：待填</w:t>
      </w:r>
    </w:p>
    <w:p w14:paraId="7D5E9BC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/>
          <w:bCs/>
          <w:sz w:val="24"/>
        </w:rPr>
        <w:sectPr>
          <w:headerReference r:id="rId6" w:type="first"/>
          <w:footerReference r:id="rId9" w:type="first"/>
          <w:headerReference r:id="rId5" w:type="default"/>
          <w:footerReference r:id="rId7" w:type="default"/>
          <w:footerReference r:id="rId8" w:type="even"/>
          <w:pgSz w:w="11906" w:h="16838"/>
          <w:pgMar w:top="1440" w:right="1466" w:bottom="1440" w:left="1620" w:header="851" w:footer="992" w:gutter="0"/>
          <w:cols w:space="720" w:num="1"/>
          <w:docGrid w:type="lines" w:linePitch="312" w:charSpace="0"/>
        </w:sectPr>
      </w:pPr>
    </w:p>
    <w:p w14:paraId="46EDB65C">
      <w:pPr>
        <w:adjustRightInd w:val="0"/>
        <w:snapToGrid w:val="0"/>
        <w:spacing w:line="360" w:lineRule="auto"/>
        <w:jc w:val="center"/>
        <w:rPr>
          <w:rFonts w:ascii="黑体" w:eastAsia="黑体"/>
          <w:bCs/>
          <w:sz w:val="32"/>
          <w:szCs w:val="32"/>
        </w:rPr>
      </w:pPr>
      <w:r>
        <w:rPr>
          <w:rFonts w:hint="eastAsia" w:ascii="黑体" w:eastAsia="黑体"/>
          <w:bCs/>
          <w:sz w:val="32"/>
          <w:szCs w:val="32"/>
        </w:rPr>
        <w:t>填写说明</w:t>
      </w:r>
    </w:p>
    <w:p w14:paraId="7806A973">
      <w:pPr>
        <w:widowControl/>
        <w:autoSpaceDE w:val="0"/>
        <w:autoSpaceDN w:val="0"/>
        <w:adjustRightInd w:val="0"/>
        <w:spacing w:before="0" w:after="60" w:line="360" w:lineRule="auto"/>
        <w:ind w:firstLine="0"/>
        <w:rPr>
          <w:rFonts w:ascii="宋体" w:hAnsi="宋体" w:cs="DFKai-SB"/>
          <w:bCs/>
          <w:sz w:val="24"/>
        </w:rPr>
      </w:pPr>
      <w:r>
        <w:rPr>
          <w:rFonts w:hint="eastAsia" w:ascii="宋体" w:hAnsi="宋体" w:eastAsia="宋体" w:cs="宋体"/>
          <w:bCs/>
          <w:color w:val="000000"/>
          <w:sz w:val="24"/>
        </w:rPr>
        <w:t xml:space="preserve">1. </w:t>
      </w:r>
      <w:r>
        <w:rPr>
          <w:rFonts w:ascii="宋体" w:hAnsi="宋体" w:eastAsia="宋体" w:cs="宋体"/>
          <w:bCs/>
          <w:color w:val="000000"/>
          <w:sz w:val="24"/>
        </w:rPr>
        <w:t>所有参赛</w:t>
      </w:r>
      <w:r>
        <w:rPr>
          <w:rFonts w:hint="eastAsia" w:ascii="宋体" w:hAnsi="宋体" w:eastAsia="宋体" w:cs="宋体"/>
          <w:bCs/>
          <w:color w:val="000000"/>
          <w:sz w:val="24"/>
        </w:rPr>
        <w:t>项目</w:t>
      </w:r>
      <w:r>
        <w:rPr>
          <w:rFonts w:ascii="宋体" w:hAnsi="宋体" w:eastAsia="宋体" w:cs="宋体"/>
          <w:bCs/>
          <w:color w:val="000000"/>
          <w:sz w:val="24"/>
        </w:rPr>
        <w:t>必须为一个基本完整的设计。</w:t>
      </w:r>
      <w:r>
        <w:rPr>
          <w:rFonts w:hint="eastAsia" w:ascii="宋体" w:hAnsi="宋体" w:eastAsia="宋体" w:cs="宋体"/>
          <w:bCs/>
          <w:color w:val="000000"/>
          <w:sz w:val="24"/>
        </w:rPr>
        <w:t>作品报告书旨在能够清晰准确地阐述（或图示）该参赛队的参赛项目（或</w:t>
      </w:r>
      <w:r>
        <w:rPr>
          <w:rFonts w:ascii="宋体" w:hAnsi="宋体" w:eastAsia="宋体" w:cs="宋体"/>
          <w:bCs/>
          <w:color w:val="000000"/>
          <w:sz w:val="24"/>
        </w:rPr>
        <w:t>方案</w:t>
      </w:r>
      <w:r>
        <w:rPr>
          <w:rFonts w:hint="eastAsia" w:ascii="宋体" w:hAnsi="宋体" w:eastAsia="宋体" w:cs="宋体"/>
          <w:bCs/>
          <w:color w:val="000000"/>
          <w:sz w:val="24"/>
        </w:rPr>
        <w:t>）。</w:t>
      </w:r>
    </w:p>
    <w:p w14:paraId="17CA4891">
      <w:pPr>
        <w:widowControl/>
        <w:autoSpaceDE w:val="0"/>
        <w:autoSpaceDN w:val="0"/>
        <w:adjustRightInd w:val="0"/>
        <w:spacing w:before="0" w:after="60" w:line="360" w:lineRule="auto"/>
        <w:ind w:firstLine="0"/>
        <w:rPr>
          <w:rFonts w:ascii="宋体" w:hAnsi="宋体" w:cs="DFKai-SB"/>
          <w:bCs/>
          <w:sz w:val="24"/>
        </w:rPr>
      </w:pPr>
      <w:r>
        <w:rPr>
          <w:rFonts w:hint="eastAsia" w:ascii="宋体" w:hAnsi="宋体" w:eastAsia="宋体" w:cs="宋体"/>
          <w:bCs/>
          <w:color w:val="000000"/>
          <w:sz w:val="24"/>
        </w:rPr>
        <w:t>2. 作品报告采用A4纸撰写。除标题外，所有内容必需为宋体、小四号字、1.5倍行距。</w:t>
      </w:r>
    </w:p>
    <w:p w14:paraId="5554264B">
      <w:pPr>
        <w:widowControl/>
        <w:autoSpaceDE w:val="0"/>
        <w:autoSpaceDN w:val="0"/>
        <w:adjustRightInd w:val="0"/>
        <w:spacing w:before="0" w:after="60" w:line="360" w:lineRule="auto"/>
        <w:ind w:firstLine="0"/>
        <w:rPr>
          <w:rFonts w:ascii="宋体" w:hAnsi="宋体" w:cs="DFKai-SB"/>
          <w:bCs/>
          <w:sz w:val="24"/>
        </w:rPr>
      </w:pPr>
      <w:r>
        <w:rPr>
          <w:rFonts w:hint="eastAsia" w:ascii="宋体" w:hAnsi="宋体" w:eastAsia="宋体" w:cs="宋体"/>
          <w:bCs/>
          <w:color w:val="000000"/>
          <w:sz w:val="24"/>
        </w:rPr>
        <w:t>3. 作品报告中各项目说明文字部分仅供参考，作品报告书撰写完毕后，请删除所有说明文字。(本页不删除)</w:t>
      </w:r>
    </w:p>
    <w:p w14:paraId="100A6FD6">
      <w:pPr>
        <w:widowControl/>
        <w:autoSpaceDE w:val="0"/>
        <w:autoSpaceDN w:val="0"/>
        <w:adjustRightInd w:val="0"/>
        <w:spacing w:before="0" w:after="60" w:line="360" w:lineRule="auto"/>
        <w:ind w:firstLine="0"/>
        <w:rPr>
          <w:rFonts w:ascii="宋体" w:hAnsi="宋体" w:cs="DFKai-SB"/>
          <w:bCs/>
          <w:sz w:val="24"/>
        </w:rPr>
      </w:pPr>
      <w:r>
        <w:rPr>
          <w:rFonts w:hint="eastAsia" w:ascii="宋体" w:hAnsi="宋体" w:eastAsia="宋体" w:cs="宋体"/>
          <w:bCs/>
          <w:color w:val="000000"/>
          <w:sz w:val="24"/>
        </w:rPr>
        <w:t>4. 作品报告模板里已经列的内容仅供参考，作者可以在此基础上增加内容或对文档结构进行微调。</w:t>
      </w:r>
    </w:p>
    <w:p w14:paraId="465B4706">
      <w:pPr>
        <w:widowControl/>
        <w:autoSpaceDE w:val="0"/>
        <w:autoSpaceDN w:val="0"/>
        <w:adjustRightInd w:val="0"/>
        <w:spacing w:before="0" w:after="60" w:line="360" w:lineRule="auto"/>
        <w:ind w:firstLine="0"/>
        <w:rPr>
          <w:rFonts w:ascii="宋体" w:hAnsi="宋体" w:cs="DFKai-SB"/>
          <w:bCs/>
          <w:sz w:val="24"/>
        </w:rPr>
      </w:pPr>
      <w:r>
        <w:rPr>
          <w:rFonts w:hint="eastAsia" w:ascii="宋体" w:hAnsi="宋体" w:eastAsia="宋体" w:cs="宋体"/>
          <w:bCs/>
          <w:color w:val="000000"/>
          <w:sz w:val="24"/>
        </w:rPr>
        <w:t>5. 为保证网评的公平、公正，作品报告中应避免出现作者所在学校、院系和指导教师等泄露身份的信息。一经发现，取消作品参赛资格。</w:t>
      </w:r>
    </w:p>
    <w:p w14:paraId="07531CC5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</w:p>
    <w:p w14:paraId="2F03CC4D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</w:p>
    <w:p w14:paraId="34D10CE2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</w:p>
    <w:p w14:paraId="07B631D5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</w:p>
    <w:p w14:paraId="78E5376A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  <w:sectPr>
          <w:pgSz w:w="11906" w:h="16838"/>
          <w:pgMar w:top="1440" w:right="1466" w:bottom="1440" w:left="1620" w:header="851" w:footer="992" w:gutter="0"/>
          <w:cols w:space="720" w:num="1"/>
          <w:docGrid w:type="lines" w:linePitch="312" w:charSpace="0"/>
        </w:sectPr>
      </w:pPr>
    </w:p>
    <w:p w14:paraId="7A487E7F">
      <w:pPr>
        <w:spacing w:after="200"/>
        <w:jc w:val="center"/>
      </w:pPr>
      <w:r>
        <w:rPr>
          <w:rFonts w:ascii="黑体" w:hAnsi="黑体" w:eastAsia="黑体" w:cs="黑体"/>
          <w:b/>
          <w:color w:val="000000"/>
          <w:sz w:val="32"/>
        </w:rPr>
        <w:t>目录</w:t>
      </w:r>
    </w:p>
    <w:p w14:paraId="63B8F377">
      <w:pPr>
        <w:pStyle w:val="5"/>
        <w:tabs>
          <w:tab w:val="right" w:leader="dot" w:pos="8820"/>
        </w:tabs>
      </w:pPr>
      <w:r>
        <w:rPr>
          <w:rFonts w:ascii="宋体" w:hAnsi="宋体" w:eastAsia="宋体" w:cs="宋体"/>
          <w:color w:val="000000"/>
          <w:sz w:val="24"/>
        </w:rPr>
        <w:fldChar w:fldCharType="begin"/>
      </w:r>
      <w:r>
        <w:rPr>
          <w:rFonts w:ascii="宋体" w:hAnsi="宋体" w:eastAsia="宋体" w:cs="宋体"/>
          <w:color w:val="000000"/>
          <w:sz w:val="24"/>
        </w:rPr>
        <w:instrText xml:space="preserve"> TOC \o "1-1" \h \z \u </w:instrText>
      </w:r>
      <w:r>
        <w:rPr>
          <w:rFonts w:ascii="宋体" w:hAnsi="宋体" w:eastAsia="宋体" w:cs="宋体"/>
          <w:color w:val="000000"/>
          <w:sz w:val="24"/>
        </w:rPr>
        <w:fldChar w:fldCharType="separate"/>
      </w:r>
      <w:r>
        <w:rPr>
          <w:rFonts w:ascii="宋体" w:hAnsi="宋体" w:eastAsia="宋体" w:cs="宋体"/>
          <w:color w:val="000000"/>
        </w:rPr>
        <w:fldChar w:fldCharType="begin"/>
      </w:r>
      <w:r>
        <w:rPr>
          <w:rFonts w:ascii="宋体" w:hAnsi="宋体" w:eastAsia="宋体" w:cs="宋体"/>
        </w:rPr>
        <w:instrText xml:space="preserve"> HYPERLINK \l _Toc6410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黑体" w:hAnsi="黑体" w:eastAsia="黑体" w:cs="黑体"/>
        </w:rPr>
        <w:t>摘要</w:t>
      </w:r>
      <w:r>
        <w:tab/>
      </w:r>
      <w:r>
        <w:fldChar w:fldCharType="begin"/>
      </w:r>
      <w:r>
        <w:instrText xml:space="preserve"> PAGEREF _Toc6410 \h </w:instrText>
      </w:r>
      <w:r>
        <w:fldChar w:fldCharType="separate"/>
      </w:r>
      <w:r>
        <w:t>3</w:t>
      </w:r>
      <w:r>
        <w:fldChar w:fldCharType="end"/>
      </w:r>
      <w:r>
        <w:rPr>
          <w:rFonts w:ascii="宋体" w:hAnsi="宋体" w:eastAsia="宋体" w:cs="宋体"/>
          <w:color w:val="000000"/>
        </w:rPr>
        <w:fldChar w:fldCharType="end"/>
      </w:r>
    </w:p>
    <w:p w14:paraId="50F0F46E">
      <w:pPr>
        <w:pStyle w:val="5"/>
        <w:tabs>
          <w:tab w:val="right" w:leader="dot" w:pos="8820"/>
        </w:tabs>
      </w:pPr>
      <w:r>
        <w:rPr>
          <w:rFonts w:ascii="宋体" w:hAnsi="宋体" w:eastAsia="宋体" w:cs="宋体"/>
          <w:color w:val="000000"/>
        </w:rPr>
        <w:fldChar w:fldCharType="begin"/>
      </w:r>
      <w:r>
        <w:rPr>
          <w:rFonts w:ascii="宋体" w:hAnsi="宋体" w:eastAsia="宋体" w:cs="宋体"/>
        </w:rPr>
        <w:instrText xml:space="preserve"> HYPERLINK \l _Toc16836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黑体" w:hAnsi="黑体" w:eastAsia="黑体" w:cs="黑体"/>
        </w:rPr>
        <w:t>第一章 作品概述</w:t>
      </w:r>
      <w:r>
        <w:tab/>
      </w:r>
      <w:r>
        <w:fldChar w:fldCharType="begin"/>
      </w:r>
      <w:r>
        <w:instrText xml:space="preserve"> PAGEREF _Toc16836 \h </w:instrText>
      </w:r>
      <w:r>
        <w:fldChar w:fldCharType="separate"/>
      </w:r>
      <w:r>
        <w:t>4</w:t>
      </w:r>
      <w:r>
        <w:fldChar w:fldCharType="end"/>
      </w:r>
      <w:r>
        <w:rPr>
          <w:rFonts w:ascii="宋体" w:hAnsi="宋体" w:eastAsia="宋体" w:cs="宋体"/>
          <w:color w:val="000000"/>
        </w:rPr>
        <w:fldChar w:fldCharType="end"/>
      </w:r>
    </w:p>
    <w:p w14:paraId="56F10616">
      <w:pPr>
        <w:pStyle w:val="5"/>
        <w:tabs>
          <w:tab w:val="right" w:leader="dot" w:pos="8820"/>
        </w:tabs>
      </w:pPr>
      <w:r>
        <w:rPr>
          <w:rFonts w:ascii="宋体" w:hAnsi="宋体" w:eastAsia="宋体" w:cs="宋体"/>
          <w:color w:val="000000"/>
        </w:rPr>
        <w:fldChar w:fldCharType="begin"/>
      </w:r>
      <w:r>
        <w:rPr>
          <w:rFonts w:ascii="宋体" w:hAnsi="宋体" w:eastAsia="宋体" w:cs="宋体"/>
        </w:rPr>
        <w:instrText xml:space="preserve"> HYPERLINK \l _Toc23060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黑体" w:hAnsi="黑体" w:eastAsia="黑体" w:cs="黑体"/>
        </w:rPr>
        <w:t>第二章 作品设计与实现</w:t>
      </w:r>
      <w:r>
        <w:tab/>
      </w:r>
      <w:r>
        <w:fldChar w:fldCharType="begin"/>
      </w:r>
      <w:r>
        <w:instrText xml:space="preserve"> PAGEREF _Toc23060 \h </w:instrText>
      </w:r>
      <w:r>
        <w:fldChar w:fldCharType="separate"/>
      </w:r>
      <w:r>
        <w:t>5</w:t>
      </w:r>
      <w:r>
        <w:fldChar w:fldCharType="end"/>
      </w:r>
      <w:r>
        <w:rPr>
          <w:rFonts w:ascii="宋体" w:hAnsi="宋体" w:eastAsia="宋体" w:cs="宋体"/>
          <w:color w:val="000000"/>
        </w:rPr>
        <w:fldChar w:fldCharType="end"/>
      </w:r>
    </w:p>
    <w:p w14:paraId="70AEDE62">
      <w:pPr>
        <w:pStyle w:val="5"/>
        <w:tabs>
          <w:tab w:val="right" w:leader="dot" w:pos="8820"/>
        </w:tabs>
      </w:pPr>
      <w:r>
        <w:rPr>
          <w:rFonts w:ascii="宋体" w:hAnsi="宋体" w:eastAsia="宋体" w:cs="宋体"/>
          <w:color w:val="000000"/>
        </w:rPr>
        <w:fldChar w:fldCharType="begin"/>
      </w:r>
      <w:r>
        <w:rPr>
          <w:rFonts w:ascii="宋体" w:hAnsi="宋体" w:eastAsia="宋体" w:cs="宋体"/>
        </w:rPr>
        <w:instrText xml:space="preserve"> HYPERLINK \l _Toc10203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黑体" w:hAnsi="黑体" w:eastAsia="黑体" w:cs="黑体"/>
        </w:rPr>
        <w:t>第三章 作品测试与分析</w:t>
      </w:r>
      <w:r>
        <w:tab/>
      </w:r>
      <w:r>
        <w:fldChar w:fldCharType="begin"/>
      </w:r>
      <w:r>
        <w:instrText xml:space="preserve"> PAGEREF _Toc10203 \h </w:instrText>
      </w:r>
      <w:r>
        <w:fldChar w:fldCharType="separate"/>
      </w:r>
      <w:r>
        <w:t>7</w:t>
      </w:r>
      <w:r>
        <w:fldChar w:fldCharType="end"/>
      </w:r>
      <w:r>
        <w:rPr>
          <w:rFonts w:ascii="宋体" w:hAnsi="宋体" w:eastAsia="宋体" w:cs="宋体"/>
          <w:color w:val="000000"/>
        </w:rPr>
        <w:fldChar w:fldCharType="end"/>
      </w:r>
    </w:p>
    <w:p w14:paraId="129B6011">
      <w:pPr>
        <w:pStyle w:val="5"/>
        <w:tabs>
          <w:tab w:val="right" w:leader="dot" w:pos="8820"/>
        </w:tabs>
      </w:pPr>
      <w:r>
        <w:rPr>
          <w:rFonts w:ascii="宋体" w:hAnsi="宋体" w:eastAsia="宋体" w:cs="宋体"/>
          <w:color w:val="000000"/>
        </w:rPr>
        <w:fldChar w:fldCharType="begin"/>
      </w:r>
      <w:r>
        <w:rPr>
          <w:rFonts w:ascii="宋体" w:hAnsi="宋体" w:eastAsia="宋体" w:cs="宋体"/>
        </w:rPr>
        <w:instrText xml:space="preserve"> HYPERLINK \l _Toc20433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黑体" w:hAnsi="黑体" w:eastAsia="黑体" w:cs="黑体"/>
        </w:rPr>
        <w:t>第四章 创新性说明</w:t>
      </w:r>
      <w:r>
        <w:tab/>
      </w:r>
      <w:r>
        <w:fldChar w:fldCharType="begin"/>
      </w:r>
      <w:r>
        <w:instrText xml:space="preserve"> PAGEREF _Toc20433 \h </w:instrText>
      </w:r>
      <w:r>
        <w:fldChar w:fldCharType="separate"/>
      </w:r>
      <w:r>
        <w:t>9</w:t>
      </w:r>
      <w:r>
        <w:fldChar w:fldCharType="end"/>
      </w:r>
      <w:r>
        <w:rPr>
          <w:rFonts w:ascii="宋体" w:hAnsi="宋体" w:eastAsia="宋体" w:cs="宋体"/>
          <w:color w:val="000000"/>
        </w:rPr>
        <w:fldChar w:fldCharType="end"/>
      </w:r>
    </w:p>
    <w:p w14:paraId="358DA47C">
      <w:pPr>
        <w:pStyle w:val="5"/>
        <w:tabs>
          <w:tab w:val="right" w:leader="dot" w:pos="8820"/>
        </w:tabs>
      </w:pPr>
      <w:r>
        <w:rPr>
          <w:rFonts w:ascii="宋体" w:hAnsi="宋体" w:eastAsia="宋体" w:cs="宋体"/>
          <w:color w:val="000000"/>
        </w:rPr>
        <w:fldChar w:fldCharType="begin"/>
      </w:r>
      <w:r>
        <w:rPr>
          <w:rFonts w:ascii="宋体" w:hAnsi="宋体" w:eastAsia="宋体" w:cs="宋体"/>
        </w:rPr>
        <w:instrText xml:space="preserve"> HYPERLINK \l _Toc25533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黑体" w:hAnsi="黑体" w:eastAsia="黑体" w:cs="黑体"/>
        </w:rPr>
        <w:t>第五章 总结</w:t>
      </w:r>
      <w:r>
        <w:tab/>
      </w:r>
      <w:r>
        <w:fldChar w:fldCharType="begin"/>
      </w:r>
      <w:r>
        <w:instrText xml:space="preserve"> PAGEREF _Toc25533 \h </w:instrText>
      </w:r>
      <w:r>
        <w:fldChar w:fldCharType="separate"/>
      </w:r>
      <w:r>
        <w:t>10</w:t>
      </w:r>
      <w:r>
        <w:fldChar w:fldCharType="end"/>
      </w:r>
      <w:r>
        <w:rPr>
          <w:rFonts w:ascii="宋体" w:hAnsi="宋体" w:eastAsia="宋体" w:cs="宋体"/>
          <w:color w:val="000000"/>
        </w:rPr>
        <w:fldChar w:fldCharType="end"/>
      </w:r>
    </w:p>
    <w:p w14:paraId="0A548B56">
      <w:pPr>
        <w:pStyle w:val="5"/>
        <w:tabs>
          <w:tab w:val="right" w:leader="dot" w:pos="8820"/>
        </w:tabs>
      </w:pPr>
      <w:r>
        <w:rPr>
          <w:rFonts w:ascii="宋体" w:hAnsi="宋体" w:eastAsia="宋体" w:cs="宋体"/>
          <w:color w:val="000000"/>
        </w:rPr>
        <w:fldChar w:fldCharType="begin"/>
      </w:r>
      <w:r>
        <w:rPr>
          <w:rFonts w:ascii="宋体" w:hAnsi="宋体" w:eastAsia="宋体" w:cs="宋体"/>
        </w:rPr>
        <w:instrText xml:space="preserve"> HYPERLINK \l _Toc1414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黑体" w:hAnsi="黑体" w:eastAsia="黑体" w:cs="黑体"/>
        </w:rPr>
        <w:t>参考文献</w:t>
      </w:r>
      <w:r>
        <w:tab/>
      </w:r>
      <w:r>
        <w:fldChar w:fldCharType="begin"/>
      </w:r>
      <w:r>
        <w:instrText xml:space="preserve"> PAGEREF _Toc1414 \h </w:instrText>
      </w:r>
      <w:r>
        <w:fldChar w:fldCharType="separate"/>
      </w:r>
      <w:r>
        <w:t>11</w:t>
      </w:r>
      <w:r>
        <w:fldChar w:fldCharType="end"/>
      </w:r>
      <w:r>
        <w:rPr>
          <w:rFonts w:ascii="宋体" w:hAnsi="宋体" w:eastAsia="宋体" w:cs="宋体"/>
          <w:color w:val="000000"/>
        </w:rPr>
        <w:fldChar w:fldCharType="end"/>
      </w:r>
    </w:p>
    <w:p w14:paraId="4F468D1A">
      <w:pPr>
        <w:widowControl/>
        <w:spacing w:before="0" w:after="60" w:line="360" w:lineRule="auto"/>
        <w:ind w:firstLine="0"/>
      </w:pPr>
      <w:r>
        <w:rPr>
          <w:rFonts w:ascii="宋体" w:hAnsi="宋体" w:eastAsia="宋体" w:cs="宋体"/>
          <w:color w:val="000000"/>
        </w:rPr>
        <w:fldChar w:fldCharType="end"/>
      </w:r>
    </w:p>
    <w:p w14:paraId="306BEC53">
      <w:pPr>
        <w:pStyle w:val="2"/>
        <w:keepNext/>
        <w:spacing w:before="160" w:after="100" w:line="360" w:lineRule="auto"/>
        <w:ind w:firstLine="0"/>
        <w:jc w:val="center"/>
      </w:pPr>
      <w:bookmarkStart w:id="0" w:name="_Toc6410"/>
      <w:r>
        <w:rPr>
          <w:rFonts w:ascii="黑体" w:hAnsi="黑体" w:eastAsia="黑体" w:cs="黑体"/>
          <w:b/>
          <w:color w:val="000000"/>
          <w:sz w:val="32"/>
        </w:rPr>
        <w:t>摘要</w:t>
      </w:r>
      <w:bookmarkEnd w:id="0"/>
    </w:p>
    <w:p w14:paraId="666705EA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密证 CredProof 面向 AI 工具中的运行时凭据泄露，结合本地大模型补丁生成与程序控制的安全验收，给出候选修复并检查泄露是否消除、必要业务行为是否保持，支持材料导出与复检。系统围绕证据驱动的候选生成与反馈调整、程序控制的修改权限与安全/业务验收、对应修复对象的材料导出与复检三个特点，形成从运行观察到候选验证的完整流程。模型提出假设与补丁，程序依据当前对象的实际证据授权，在隔离环境中检查凭据通道和功能，再由执行器确认任务状态。单页工作台展示原代码、差异、失败反馈与验收结果。同一冻结轮次八个合成案例中，反馈 Agent 完成四个问题例的合格修复，四个正常例均未被实际修改；最终对象通过八例，完整任务六例。代表案例保存了失败补丁经真实反馈修正的过程。作品已形成可运行和可复检的原型，为小型授权 Python 工具提供有依据的修复辅助。</w:t>
      </w:r>
    </w:p>
    <w:p w14:paraId="50FD5265">
      <w:pPr>
        <w:widowControl/>
        <w:spacing w:before="0" w:after="60" w:line="360" w:lineRule="auto"/>
        <w:ind w:firstLine="0"/>
      </w:pPr>
      <w:r>
        <w:rPr>
          <w:rFonts w:ascii="宋体" w:hAnsi="宋体" w:eastAsia="宋体" w:cs="宋体"/>
          <w:b w:val="0"/>
          <w:color w:val="000000"/>
          <w:sz w:val="24"/>
        </w:rPr>
        <w:t>关键词：运行时凭据；本地智能体；受控修复；证据绑定；材料复检</w:t>
      </w:r>
    </w:p>
    <w:p w14:paraId="77286629">
      <w:r>
        <w:br w:type="page"/>
      </w:r>
    </w:p>
    <w:p w14:paraId="54CA6780">
      <w:pPr>
        <w:pStyle w:val="2"/>
        <w:keepNext/>
        <w:spacing w:before="160" w:after="100" w:line="360" w:lineRule="auto"/>
        <w:ind w:firstLine="0"/>
        <w:jc w:val="center"/>
      </w:pPr>
      <w:bookmarkStart w:id="1" w:name="_Toc16836"/>
      <w:r>
        <w:rPr>
          <w:rFonts w:ascii="黑体" w:hAnsi="黑体" w:eastAsia="黑体" w:cs="黑体"/>
          <w:b/>
          <w:color w:val="000000"/>
          <w:sz w:val="32"/>
        </w:rPr>
        <w:t>第一章 作品概述</w:t>
      </w:r>
      <w:bookmarkEnd w:id="1"/>
    </w:p>
    <w:p w14:paraId="51399E9D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1.1 作品价值</w:t>
      </w:r>
    </w:p>
    <w:p w14:paraId="6121F436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系统结合本地大模型补丁生成与程序控制的安全验收，针对凭据泄露问题给出候选修复，并检查泄露是否消除、必要业务行为是否保持，支持材料导出与复检。密证把这一流程组织为可操作的单页工作台：使用者能够查看泄露依据、候选差异、验证回执和当前任务状态，形成可追溯的修复材料。</w:t>
      </w:r>
    </w:p>
    <w:p w14:paraId="26D479F7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小型 AI 工具常从环境变量读取凭据。源码即使没有硬编码密钥，执行时仍可能经辅助函数日志、异常细节或嵌套返回暴露真实值。修复这类问题需要识别具体传播路径，同时保留正常认证、成功响应和异常处理。密证让模型承担假设与补丁生成，让固定程序承担修改授权和验收，两者协作完成有证据的修复辅助。</w:t>
      </w:r>
    </w:p>
    <w:p w14:paraId="6EB26DBA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1.2 三个作品特点</w:t>
      </w:r>
    </w:p>
    <w:p w14:paraId="46F4DEA4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/>
          <w:color w:val="000000"/>
          <w:sz w:val="24"/>
        </w:rPr>
        <w:t>证据驱动的候选生成与反馈调整。</w:t>
      </w:r>
      <w:r>
        <w:rPr>
          <w:rFonts w:ascii="宋体" w:hAnsi="宋体" w:eastAsia="宋体" w:cs="宋体"/>
          <w:b w:val="0"/>
          <w:color w:val="000000"/>
          <w:sz w:val="24"/>
        </w:rPr>
        <w:t xml:space="preserve"> 模型依据代码和脱敏观察提出补丁，真实验证反馈支持后续调整。</w:t>
      </w:r>
    </w:p>
    <w:p w14:paraId="44CFFA69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/>
          <w:color w:val="000000"/>
          <w:sz w:val="24"/>
        </w:rPr>
        <w:t>程序控制的修改权限与安全/业务验收。</w:t>
      </w:r>
      <w:r>
        <w:rPr>
          <w:rFonts w:ascii="宋体" w:hAnsi="宋体" w:eastAsia="宋体" w:cs="宋体"/>
          <w:b w:val="0"/>
          <w:color w:val="000000"/>
          <w:sz w:val="24"/>
        </w:rPr>
        <w:t xml:space="preserve"> 当前有效证据授权修改，候选需同时满足安全与业务条件，任务状态独立确认。</w:t>
      </w:r>
    </w:p>
    <w:p w14:paraId="3132F599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/>
          <w:color w:val="000000"/>
          <w:sz w:val="24"/>
        </w:rPr>
        <w:t>对应修复对象的材料导出与复检。</w:t>
      </w:r>
      <w:r>
        <w:rPr>
          <w:rFonts w:ascii="宋体" w:hAnsi="宋体" w:eastAsia="宋体" w:cs="宋体"/>
          <w:b w:val="0"/>
          <w:color w:val="000000"/>
          <w:sz w:val="24"/>
        </w:rPr>
        <w:t xml:space="preserve"> 导出原件、候选、需求规则及记录，重读材料并重新检查当前对象。</w:t>
      </w:r>
    </w:p>
    <w:p w14:paraId="1361C9E5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1.3 应用场景与技术基础</w:t>
      </w:r>
    </w:p>
    <w:p w14:paraId="2F89066A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作品适用于教学实验、团队自有认证工具及内部授权组件。开发者可以定位泄露通道、比较候选差异，把对应材料交给他人复检；正常工具经验证后保持原样。</w:t>
      </w:r>
    </w:p>
    <w:p w14:paraId="3DC77802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系统采用 Qwen3-Coder、Qwen-Agent 和 Ollama[1–3]。项目实现受限工具、证据授权、完成控制、裁判与案例、过程记录、材料复检和工作台，组织运行证据、生成式候选与确定性验收协同工作。</w:t>
      </w:r>
    </w:p>
    <w:p w14:paraId="2C49554F">
      <w:pPr>
        <w:pStyle w:val="2"/>
        <w:keepNext/>
        <w:spacing w:before="160" w:after="100" w:line="360" w:lineRule="auto"/>
        <w:ind w:firstLine="0"/>
        <w:jc w:val="center"/>
      </w:pPr>
      <w:bookmarkStart w:id="2" w:name="_Toc23060"/>
      <w:r>
        <w:rPr>
          <w:rFonts w:ascii="黑体" w:hAnsi="黑体" w:eastAsia="黑体" w:cs="黑体"/>
          <w:b/>
          <w:color w:val="000000"/>
          <w:sz w:val="32"/>
        </w:rPr>
        <w:t>第二章 作品设计与实现</w:t>
      </w:r>
      <w:bookmarkEnd w:id="2"/>
    </w:p>
    <w:p w14:paraId="29491D87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2.1 系统组成与数据流程</w:t>
      </w:r>
    </w:p>
    <w:p w14:paraId="0C3FE9B6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系统由单页与 Python 后端、受控会话、模型接口、隔离执行器、裁判和复检模块组成。选择案例后固定代码、需求和规则，在成功、拒绝、服务异常三个公开条件下形成初始证据。模型可读取代码、选择触发条件、取得证据、提交候选和请求验证。</w:t>
      </w:r>
    </w:p>
    <w:p w14:paraId="67744281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候选只写入副本。程序核对权限，隔离执行器采集行为，裁判检查安全与功能，再依据必要条件确认任务状态。工作台展示原代码、候选、模型原文、证据与差异，现场推理和历史回放具有独立标识。</w:t>
      </w:r>
    </w:p>
    <w:p w14:paraId="1332132A">
      <w:pPr>
        <w:keepNext/>
        <w:widowControl/>
        <w:spacing w:before="0" w:after="60" w:line="360" w:lineRule="auto"/>
        <w:ind w:firstLine="0"/>
        <w:jc w:val="center"/>
      </w:pPr>
      <w:r>
        <w:drawing>
          <wp:inline distT="0" distB="0" distL="114300" distR="114300">
            <wp:extent cx="5471795" cy="3757295"/>
            <wp:effectExtent l="0" t="0" r="14605" b="146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75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A92DA">
      <w:pPr>
        <w:widowControl/>
        <w:spacing w:before="0" w:after="60" w:line="360" w:lineRule="auto"/>
        <w:ind w:firstLine="0"/>
        <w:jc w:val="center"/>
      </w:pPr>
      <w:r>
        <w:rPr>
          <w:rFonts w:ascii="宋体" w:hAnsi="宋体" w:eastAsia="宋体" w:cs="宋体"/>
          <w:b w:val="0"/>
          <w:color w:val="000000"/>
          <w:sz w:val="24"/>
        </w:rPr>
        <w:t>图 1 运行证据约束下的候选修复与验收流程</w:t>
      </w:r>
    </w:p>
    <w:p w14:paraId="2CFBC110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2.2 凭据使用与业务契约</w:t>
      </w:r>
    </w:p>
    <w:p w14:paraId="5A7C7C74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被测工具实现 tool.run(request, auth_service)。有效请求具有非空 request_id、resource、1 至 5 的整数 units 和可选布尔 debug。工具从指定环境变量读取执行侧生成的随机合成凭据，并向本地 mock 认证服务调用一次；该认证实参是允许使用凭据的通道。</w:t>
      </w:r>
    </w:p>
    <w:p w14:paraId="2E26B5F9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返回内容与键、异常文本、stdout、stderr、logging 属于禁止泄露通道。执行器采集实际输出，裁判按固定矩阵检查完整凭据值。业务检查同时核对认证次数与实参、成功响应、拒绝和服务异常；无效输入不得调用认证。这样，删除认证、常量成功或吞掉异常都不能替代合格修复。</w:t>
      </w:r>
    </w:p>
    <w:p w14:paraId="46B0C2FD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原始值保留在执行侧，模型只见脱敏观察与失败类别。受控运行接收结构化请求和认证条件，完整验收对所有候选采用相同的 13 项条件。</w:t>
      </w:r>
    </w:p>
    <w:p w14:paraId="4B1788CC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2.3 程序控制的修改与完成</w:t>
      </w:r>
    </w:p>
    <w:p w14:paraId="0FE3F77F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会话把原始对象、规则和触发条件关联起来。仅当前有效泄露证据授权写入候选；没有确认依据时保留原代码，并记录模型的疑点。工具调用经过协议解析、参数与路径校验，补丁只能替换候选工具，可信需求、裁判和执行设施保持固定。候选执行前还要满足受限 Python 语法规则。</w:t>
      </w:r>
    </w:p>
    <w:p w14:paraId="12781C17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执行使用 WSL/Linux 隔离设施，通过命名空间、只读挂载、资源限制和系统调用约束控制运行能力。程序记录每项检查的 PASS、FAIL 或 UNKNOWN。FAIL 可以触发预算内的反馈调整；满足当前对象的全部完成条件后，执行器才确认任务完成。请求次数、候选数、上下文和时间均有上限，错误或超时保留到记录中。</w:t>
      </w:r>
    </w:p>
    <w:p w14:paraId="3ED906B5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2.4 工作台与对象对应的复检</w:t>
      </w:r>
    </w:p>
    <w:p w14:paraId="20A72666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工作台分别展示模型判断、程序确认和任务状态，可展开真实证据、代码差异及每次验收回执。请求、响应、调用实参与候选一同保存，支持回到具体失败步骤。</w:t>
      </w:r>
    </w:p>
    <w:p w14:paraId="7748CB22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材料包包含原始与当前副本、可信需求、配置、报告、轨迹、校验信息和复检源码。复检无需重新调用模型，而是在已准备的隔离设施上重读当前对象并重新执行固定条件。源文件、候选、规则或材料变化时，旧缓存包和旧复检结论不能继续作为当前结果复用。</w:t>
      </w:r>
    </w:p>
    <w:p w14:paraId="1B777D72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复检分别报告旧报告适用性、历史材料完整性和当前验收。完整性为 INTACT、DEGRADED 或 UNKNOWN；清单中的可选轨迹缺失可标记 DEGRADED，同时保留当前独立验收的真实 PASS/FAIL/UNKNOWN。旧报告失效与当前对象失败分别处理，因此一个变化后的对象仍可能通过新的检查。</w:t>
      </w:r>
    </w:p>
    <w:p w14:paraId="38ADBB1D">
      <w:pPr>
        <w:pStyle w:val="2"/>
        <w:keepNext/>
        <w:spacing w:before="160" w:after="100" w:line="360" w:lineRule="auto"/>
        <w:ind w:firstLine="0"/>
        <w:jc w:val="center"/>
      </w:pPr>
      <w:bookmarkStart w:id="3" w:name="_Toc10203"/>
      <w:r>
        <w:rPr>
          <w:rFonts w:ascii="黑体" w:hAnsi="黑体" w:eastAsia="黑体" w:cs="黑体"/>
          <w:b/>
          <w:color w:val="000000"/>
          <w:sz w:val="32"/>
        </w:rPr>
        <w:t>第三章 作品测试与分析</w:t>
      </w:r>
      <w:bookmarkEnd w:id="3"/>
    </w:p>
    <w:p w14:paraId="2B9D6F4D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3.1 固定测试设计</w:t>
      </w:r>
    </w:p>
    <w:p w14:paraId="2122453B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本章统一使用 20260929t095000z-holdout8 完整结果，对应源码快照 b4cb91ef67ae2d14d6cc37f9e18cf6c23e36e8ea[4]。8 个自建模板含 4 个泄露案例和 4 个正常案例，覆盖参数日志、拒绝分支输出、异常跨函数传播、嵌套返回，以及正确认证封装、公开错误、独立脱敏结构和公开诊断信息。</w:t>
      </w:r>
    </w:p>
    <w:p w14:paraId="1F86F20D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各模板在执行方法前登记需求、标签和断言，每个对象检查 13 项固定条件。A/B/C 共享三项公开初始诊断。A 是本项目固定启发式修复程序；B 为一次模型生成；C 为有工具反馈的 Agent，最多 12 次模型请求、3 个候选。该轮采用 Qwen-Agent 0.0.34、Ollama 0.34.4、qwen3-coder:30b Q4_K_M 和 16K 上下文，监督命令退出 0，冻结文件保持一致。</w:t>
      </w:r>
    </w:p>
    <w:p w14:paraId="56CB4FA9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3.2 完整对照结果</w:t>
      </w:r>
    </w:p>
    <w:tbl>
      <w:tblPr>
        <w:tblStyle w:val="6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0"/>
        <w:gridCol w:w="1470"/>
        <w:gridCol w:w="1470"/>
        <w:gridCol w:w="1470"/>
        <w:gridCol w:w="1470"/>
        <w:gridCol w:w="1470"/>
      </w:tblGrid>
      <w:tr w14:paraId="42429C4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729" w:type="dxa"/>
            <w:vAlign w:val="center"/>
          </w:tcPr>
          <w:p w14:paraId="336C09C8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方法</w:t>
            </w:r>
          </w:p>
        </w:tc>
        <w:tc>
          <w:tcPr>
            <w:tcW w:w="1417" w:type="dxa"/>
            <w:vAlign w:val="center"/>
          </w:tcPr>
          <w:p w14:paraId="5BDD29FA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问题修复</w:t>
            </w:r>
          </w:p>
        </w:tc>
        <w:tc>
          <w:tcPr>
            <w:tcW w:w="1417" w:type="dxa"/>
            <w:vAlign w:val="center"/>
          </w:tcPr>
          <w:p w14:paraId="20F0E3BE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正常通过</w:t>
            </w:r>
          </w:p>
        </w:tc>
        <w:tc>
          <w:tcPr>
            <w:tcW w:w="1417" w:type="dxa"/>
            <w:vAlign w:val="center"/>
          </w:tcPr>
          <w:p w14:paraId="59BEB8C0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对象通过</w:t>
            </w:r>
          </w:p>
        </w:tc>
        <w:tc>
          <w:tcPr>
            <w:tcW w:w="1417" w:type="dxa"/>
            <w:vAlign w:val="center"/>
          </w:tcPr>
          <w:p w14:paraId="204B7AA0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任务完成</w:t>
            </w:r>
          </w:p>
        </w:tc>
        <w:tc>
          <w:tcPr>
            <w:tcW w:w="1417" w:type="dxa"/>
            <w:vAlign w:val="center"/>
          </w:tcPr>
          <w:p w14:paraId="53F0DF93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误修改</w:t>
            </w:r>
          </w:p>
        </w:tc>
      </w:tr>
      <w:tr w14:paraId="3700F37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29" w:type="dxa"/>
            <w:vAlign w:val="center"/>
          </w:tcPr>
          <w:p w14:paraId="61D8AC99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A 固定程序</w:t>
            </w:r>
          </w:p>
        </w:tc>
        <w:tc>
          <w:tcPr>
            <w:tcW w:w="1417" w:type="dxa"/>
            <w:vAlign w:val="center"/>
          </w:tcPr>
          <w:p w14:paraId="4F53251D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3/4</w:t>
            </w:r>
          </w:p>
        </w:tc>
        <w:tc>
          <w:tcPr>
            <w:tcW w:w="1417" w:type="dxa"/>
            <w:vAlign w:val="center"/>
          </w:tcPr>
          <w:p w14:paraId="6A007686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4/4</w:t>
            </w:r>
          </w:p>
        </w:tc>
        <w:tc>
          <w:tcPr>
            <w:tcW w:w="1417" w:type="dxa"/>
            <w:vAlign w:val="center"/>
          </w:tcPr>
          <w:p w14:paraId="7DC7111B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7/8</w:t>
            </w:r>
          </w:p>
        </w:tc>
        <w:tc>
          <w:tcPr>
            <w:tcW w:w="1417" w:type="dxa"/>
            <w:vAlign w:val="center"/>
          </w:tcPr>
          <w:p w14:paraId="533FC9E0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7/8</w:t>
            </w:r>
          </w:p>
        </w:tc>
        <w:tc>
          <w:tcPr>
            <w:tcW w:w="1417" w:type="dxa"/>
            <w:vAlign w:val="center"/>
          </w:tcPr>
          <w:p w14:paraId="329FED6D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0/4</w:t>
            </w:r>
          </w:p>
        </w:tc>
      </w:tr>
      <w:tr w14:paraId="4E184DB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29" w:type="dxa"/>
            <w:vAlign w:val="center"/>
          </w:tcPr>
          <w:p w14:paraId="1DACB214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B 一次生成</w:t>
            </w:r>
          </w:p>
        </w:tc>
        <w:tc>
          <w:tcPr>
            <w:tcW w:w="1417" w:type="dxa"/>
            <w:vAlign w:val="center"/>
          </w:tcPr>
          <w:p w14:paraId="65D4DCCB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1/4</w:t>
            </w:r>
          </w:p>
        </w:tc>
        <w:tc>
          <w:tcPr>
            <w:tcW w:w="1417" w:type="dxa"/>
            <w:vAlign w:val="center"/>
          </w:tcPr>
          <w:p w14:paraId="10CED28F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4/4</w:t>
            </w:r>
          </w:p>
        </w:tc>
        <w:tc>
          <w:tcPr>
            <w:tcW w:w="1417" w:type="dxa"/>
            <w:vAlign w:val="center"/>
          </w:tcPr>
          <w:p w14:paraId="388137FF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5/8</w:t>
            </w:r>
          </w:p>
        </w:tc>
        <w:tc>
          <w:tcPr>
            <w:tcW w:w="1417" w:type="dxa"/>
            <w:vAlign w:val="center"/>
          </w:tcPr>
          <w:p w14:paraId="1F52CE4C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4/8</w:t>
            </w:r>
          </w:p>
        </w:tc>
        <w:tc>
          <w:tcPr>
            <w:tcW w:w="1417" w:type="dxa"/>
            <w:vAlign w:val="center"/>
          </w:tcPr>
          <w:p w14:paraId="5F3485BC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0/4</w:t>
            </w:r>
          </w:p>
        </w:tc>
      </w:tr>
      <w:tr w14:paraId="4B2AA74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29" w:type="dxa"/>
            <w:vAlign w:val="center"/>
          </w:tcPr>
          <w:p w14:paraId="7AFFFB94">
            <w:pPr>
              <w:keepNext w:val="0"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C 反馈模型</w:t>
            </w:r>
          </w:p>
        </w:tc>
        <w:tc>
          <w:tcPr>
            <w:tcW w:w="1417" w:type="dxa"/>
            <w:vAlign w:val="center"/>
          </w:tcPr>
          <w:p w14:paraId="21B6C921">
            <w:pPr>
              <w:keepNext w:val="0"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4/4</w:t>
            </w:r>
          </w:p>
        </w:tc>
        <w:tc>
          <w:tcPr>
            <w:tcW w:w="1417" w:type="dxa"/>
            <w:vAlign w:val="center"/>
          </w:tcPr>
          <w:p w14:paraId="49C4325A">
            <w:pPr>
              <w:keepNext w:val="0"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4/4</w:t>
            </w:r>
          </w:p>
        </w:tc>
        <w:tc>
          <w:tcPr>
            <w:tcW w:w="1417" w:type="dxa"/>
            <w:vAlign w:val="center"/>
          </w:tcPr>
          <w:p w14:paraId="10513E2D">
            <w:pPr>
              <w:keepNext w:val="0"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8/8</w:t>
            </w:r>
          </w:p>
        </w:tc>
        <w:tc>
          <w:tcPr>
            <w:tcW w:w="1417" w:type="dxa"/>
            <w:vAlign w:val="center"/>
          </w:tcPr>
          <w:p w14:paraId="4F0C7495">
            <w:pPr>
              <w:keepNext w:val="0"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6/8</w:t>
            </w:r>
          </w:p>
        </w:tc>
        <w:tc>
          <w:tcPr>
            <w:tcW w:w="1417" w:type="dxa"/>
            <w:vAlign w:val="center"/>
          </w:tcPr>
          <w:p w14:paraId="2A7E49B6">
            <w:pPr>
              <w:keepNext w:val="0"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0/4</w:t>
            </w:r>
          </w:p>
        </w:tc>
      </w:tr>
    </w:tbl>
    <w:p w14:paraId="5F864E9D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“合格修复”表示问题例的最终对象满足固定检查；“完整任务”要求执行器对当前对象形成完成状态。C 的 h05/h06 输出正文工具标签，未形成原生工具调用和有效诊断，故原对象独立检查 PASS 仍不能补作任务完成。B 的 h07 输出 JSON 无效，也保留未完成状态。结果体现了候选能力与协议完成可靠性两个不同维度。</w:t>
      </w:r>
    </w:p>
    <w:p w14:paraId="43DF3622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正常例实际修改均为 0，但原始判断仍分别记录：A 对 h05 的误判提案被证据门槛拒绝；B 有 1 例、C 有 2 例结构化诊断缺失。C 对 h07/h08 提出潜在风险疑点，未确认实际外泄。程序确认、模型原文、提案和实际改动可以逐项追溯。</w:t>
      </w:r>
    </w:p>
    <w:p w14:paraId="460747F2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3.3 h01 补充参数日志的修复候选</w:t>
      </w:r>
    </w:p>
    <w:p w14:paraId="54D16369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凭据经 helper 参数进入 logging。本项目固定启发式 A 未覆盖该参数日志传播，B 的候选仅有空白差异；两者仍有泄露。C 调整日志内容并保留认证实参，最终通过安全与业务检查。这一案例展示模型在既有固定启发式之外给出有效候选的作用。</w:t>
      </w:r>
    </w:p>
    <w:p w14:paraId="4842857A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3.4 h03 用真实失败反馈纠正补丁</w:t>
      </w:r>
    </w:p>
    <w:p w14:paraId="3B66604F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第一候选把 credential= 替换为带 [REDACTED] 的前缀，真实值仍跟在后面。验证发现日志继续泄露，失败回执进入下一次模型请求；第二候选改为固定安全错误信息，检查随后通过。模型曾把失败错误归因于字面词 credential，而实际判据是合成凭据值是否残留。两份补丁与回执可在工作台核对[5]。</w:t>
      </w:r>
    </w:p>
    <w:p w14:paraId="7F796F56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同轮 A 在 h03 的首补丁已经成功。该故事展示的是一次真实反馈调整过程，h01 则展示固定启发式之外的候选增益，二者评价目的不同。</w:t>
      </w:r>
    </w:p>
    <w:p w14:paraId="1F26A7A1">
      <w:pPr>
        <w:keepNext/>
        <w:widowControl/>
        <w:spacing w:before="0" w:after="60" w:line="360" w:lineRule="auto"/>
        <w:ind w:firstLine="0"/>
        <w:jc w:val="center"/>
      </w:pPr>
      <w:r>
        <w:drawing>
          <wp:inline distT="0" distB="0" distL="114300" distR="114300">
            <wp:extent cx="5471795" cy="3079750"/>
            <wp:effectExtent l="0" t="0" r="14605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079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901E4">
      <w:pPr>
        <w:widowControl/>
        <w:spacing w:before="0" w:after="60" w:line="360" w:lineRule="auto"/>
        <w:ind w:firstLine="0"/>
        <w:jc w:val="center"/>
      </w:pPr>
      <w:r>
        <w:rPr>
          <w:rFonts w:ascii="宋体" w:hAnsi="宋体" w:eastAsia="宋体" w:cs="宋体"/>
          <w:b w:val="0"/>
          <w:color w:val="000000"/>
          <w:sz w:val="24"/>
        </w:rPr>
        <w:t>图 2 h03 两次候选与真实验证反馈 历史记录回放</w:t>
      </w:r>
    </w:p>
    <w:p w14:paraId="1698545E">
      <w:pPr>
        <w:pStyle w:val="11"/>
        <w:keepNext/>
        <w:pageBreakBefore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3.5 h07 正常验证后保留原代码</w:t>
      </w:r>
    </w:p>
    <w:p w14:paraId="47EC14B9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h07 将认证数据与脱敏日志分开构造，日志中的认证字段已替换为固定标记。C 对脱敏逻辑提出疑点并追加受控观察，程序仍未发现凭据泄露。最终验证原对象的 13 项条件全部通过，任务以 COMPLETED_UNCHANGED 结束，没有候选补丁和实际修改。这个案例说明系统既支持必要修复，也支持在证据不足时保持正常代码。</w:t>
      </w:r>
    </w:p>
    <w:p w14:paraId="69B60316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3.6 开销与适用边界</w:t>
      </w:r>
    </w:p>
    <w:p w14:paraId="7489B285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本轮 B 累计 8 次请求，输入/输出 tokens 为 12,567/4,634；C 为 31 次，99,142/6,648。方法耗时累计 A 33.538 秒、B 57.178 秒、C 74.335 秒。D 在 h01/h03 各生成三份无反馈候选，六份均未消除日志泄露；它与 C 仅最大输出额度相同，实际请求和输入 tokens 不同，因此这些数字用于说明本轮开销与过程，不作等算力优势结论。</w:t>
      </w:r>
    </w:p>
    <w:p w14:paraId="52A1A673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当前评估属于开发过程构造的合成模板评测，共享部分代码，未构成外部独立盲测；全部 14 个已有案例现作为已知回归。公开初始诊断不计作 Agent 自主发现，后续两例复测和界面完善不拼入本章成绩。A 是本项目实现，不能代称成熟扫描器；h01 与 h03 分别支持有限候选增益和一次反馈调整，不能外推普遍优越性。</w:t>
      </w:r>
    </w:p>
    <w:p w14:paraId="058C58F1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系统适用于已授权且经过审查的 Python 轮廓，使用合成凭据与本地模拟服务，检测完整明文值，尚不覆盖任意仓库、编码分片或全部隐蔽通道。需求、裁判与操作者是可信前提；操作系统隔离不等于抵抗任意 Python 内省，普通摘要也不是身份认证或数字签名。正式部署仍需组件适配和对应条件下的验证。</w:t>
      </w:r>
    </w:p>
    <w:p w14:paraId="12BE1482">
      <w:pPr>
        <w:pStyle w:val="2"/>
        <w:keepNext/>
        <w:spacing w:before="160" w:after="100" w:line="360" w:lineRule="auto"/>
        <w:ind w:firstLine="0"/>
        <w:jc w:val="center"/>
      </w:pPr>
      <w:bookmarkStart w:id="4" w:name="_Toc20433"/>
      <w:r>
        <w:rPr>
          <w:rFonts w:ascii="黑体" w:hAnsi="黑体" w:eastAsia="黑体" w:cs="黑体"/>
          <w:b/>
          <w:color w:val="000000"/>
          <w:sz w:val="32"/>
        </w:rPr>
        <w:t>第四章 创新性说明</w:t>
      </w:r>
      <w:bookmarkEnd w:id="4"/>
    </w:p>
    <w:p w14:paraId="1C98E0E8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4.1 证据驱动的候选生成与反馈调整</w:t>
      </w:r>
    </w:p>
    <w:p w14:paraId="26D785B4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围绕运行时凭据的具体传播路径，把代码、触发条件和脱敏观察组织为模型可使用的反馈。模型能够为参数日志等结构提出候选，验收失败则返回实际问题。h01 和 h03 分别给出了有效候选与失败后调整的可核查实例。</w:t>
      </w:r>
    </w:p>
    <w:p w14:paraId="2F4669B2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4.2 程序控制的修改权限与安全/业务验收</w:t>
      </w:r>
    </w:p>
    <w:p w14:paraId="55A5598C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把是否有权修改、当前候选是否合格、任务是否完成交给固定程序判定。允许认证通道与禁止泄露通道分别检查，安全检查与业务条件共同验收。模型的判断可以保留和审查，而候选落地有明确依据，正常代码可以经过验证后保持原样。</w:t>
      </w:r>
    </w:p>
    <w:p w14:paraId="6B93FC3D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4.3 对应修复对象的材料导出与复检</w:t>
      </w:r>
    </w:p>
    <w:p w14:paraId="045EFEDA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把代码对象、需求规则、模型过程和验收回执组织为对应材料。导出前后检查对象变化，复检重新执行固定条件，并区分历史材料完整性、旧报告适用性和当前判决。使用者可以从页面结论回到证据，也可以在不调用模型的情况下复查交付对象。</w:t>
      </w:r>
    </w:p>
    <w:p w14:paraId="76BD486C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项目的工程增量在于将有既有来源的模型、框架、测试、摘要和隔离技术，组织成可操作、可解释、可复检的安全修复流程。</w:t>
      </w:r>
    </w:p>
    <w:p w14:paraId="6436E4A8">
      <w:pPr>
        <w:pStyle w:val="2"/>
        <w:keepNext/>
        <w:spacing w:before="160" w:after="100" w:line="360" w:lineRule="auto"/>
        <w:ind w:firstLine="0"/>
        <w:jc w:val="center"/>
      </w:pPr>
      <w:bookmarkStart w:id="5" w:name="_Toc25533"/>
      <w:r>
        <w:rPr>
          <w:rFonts w:ascii="黑体" w:hAnsi="黑体" w:eastAsia="黑体" w:cs="黑体"/>
          <w:b/>
          <w:color w:val="000000"/>
          <w:sz w:val="32"/>
        </w:rPr>
        <w:t>第五章 总结</w:t>
      </w:r>
      <w:bookmarkEnd w:id="5"/>
    </w:p>
    <w:p w14:paraId="2A85D285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密证已经形成“观察证据—候选生成—受控修改—安全与业务验收—材料复检”的可运行原型。完整同轮测试展示了四个问题例的合格修复、正常代码保留及一次真实失败反馈调整；任务完成指标同时揭示了需要继续改进的工具协议环节。工作台把这些过程和结果连到具体对象，为开发者提供可检查的修复辅助。</w:t>
      </w:r>
    </w:p>
    <w:p w14:paraId="4D0E05A0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后续优先提升协议稳定性和展示体验，增加授权组件适配，邀请不同作者扩展代码结构与业务条件。新增评估独立冻结、与已知回归分开统计，材料复检继续服务于协作评审和成果交接。</w:t>
      </w:r>
    </w:p>
    <w:p w14:paraId="4333EC70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来源与 AI 参与披露</w:t>
      </w:r>
    </w:p>
    <w:p w14:paraId="29F2CEA8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公开模型、框架、推理服务和隔离基础设施按来源引用；本项目实现受限工具、授权与完成控制、裁判及案例、实验组织、材料复检和展示组件。ChatGPT/Codex 实质参与方案、主要代码生成与修改、调试、试验组织、结果核对和文稿准备。队伍实际成员贡献与身份字段待填；AI 辅助范围、独立研究要求及参赛资格由队伍向导师/组委会确认。本报告不替代队伍签署的原创性声明。</w:t>
      </w:r>
    </w:p>
    <w:p w14:paraId="27389601">
      <w:pPr>
        <w:pStyle w:val="2"/>
        <w:keepNext/>
        <w:spacing w:before="160" w:after="100" w:line="360" w:lineRule="auto"/>
        <w:ind w:firstLine="0"/>
        <w:jc w:val="center"/>
      </w:pPr>
      <w:bookmarkStart w:id="6" w:name="_Toc1414"/>
      <w:r>
        <w:rPr>
          <w:rFonts w:ascii="黑体" w:hAnsi="黑体" w:eastAsia="黑体" w:cs="黑体"/>
          <w:b/>
          <w:color w:val="000000"/>
          <w:sz w:val="32"/>
        </w:rPr>
        <w:t>参考文献</w:t>
      </w:r>
      <w:bookmarkEnd w:id="6"/>
    </w:p>
    <w:p w14:paraId="36161EB5">
      <w:pPr>
        <w:widowControl/>
        <w:spacing w:before="0" w:after="60" w:line="360" w:lineRule="auto"/>
        <w:ind w:firstLine="0"/>
        <w:jc w:val="left"/>
      </w:pPr>
      <w:r>
        <w:rPr>
          <w:rFonts w:ascii="宋体" w:hAnsi="宋体" w:eastAsia="宋体" w:cs="宋体"/>
          <w:b w:val="0"/>
          <w:color w:val="000000"/>
          <w:sz w:val="24"/>
        </w:rPr>
        <w:t>[1] Qwen Team. Qwen-Agent 官方项目[EB/OL]. https://github.com/QwenLM/Qwen-Agent. 本项目使用 0.0.34，实际依赖锁与来源清单随材料提供。</w:t>
      </w:r>
    </w:p>
    <w:p w14:paraId="4B43A6D4">
      <w:pPr>
        <w:widowControl/>
        <w:spacing w:before="0" w:after="60" w:line="360" w:lineRule="auto"/>
        <w:ind w:firstLine="0"/>
        <w:jc w:val="left"/>
      </w:pPr>
      <w:r>
        <w:rPr>
          <w:rFonts w:ascii="宋体" w:hAnsi="宋体" w:eastAsia="宋体" w:cs="宋体"/>
          <w:b w:val="0"/>
          <w:color w:val="000000"/>
          <w:sz w:val="24"/>
        </w:rPr>
        <w:t>[2] Qwen Team. Qwen3-Coder 官方项目[EB/OL]. https://github.com/QwenLM/Qwen3-Coder. 本项目使用 Ollama 分发的 qwen3-coder:30b Q4_K_M，不开展训练。</w:t>
      </w:r>
    </w:p>
    <w:p w14:paraId="0F32D3DE">
      <w:pPr>
        <w:widowControl/>
        <w:spacing w:before="0" w:after="60" w:line="360" w:lineRule="auto"/>
        <w:ind w:firstLine="0"/>
        <w:jc w:val="left"/>
      </w:pPr>
      <w:r>
        <w:rPr>
          <w:rFonts w:ascii="宋体" w:hAnsi="宋体" w:eastAsia="宋体" w:cs="宋体"/>
          <w:b w:val="0"/>
          <w:color w:val="000000"/>
          <w:sz w:val="24"/>
        </w:rPr>
        <w:t>[3] Ollama. Ollama 官方项目[EB/OL]. https://github.com/ollama/ollama. 本轮推理版本 0.34.4。</w:t>
      </w:r>
    </w:p>
    <w:p w14:paraId="1C1928B2">
      <w:pPr>
        <w:widowControl/>
        <w:spacing w:before="0" w:after="60" w:line="360" w:lineRule="auto"/>
        <w:ind w:firstLine="0"/>
        <w:jc w:val="left"/>
      </w:pPr>
      <w:r>
        <w:rPr>
          <w:rFonts w:ascii="宋体" w:hAnsi="宋体" w:eastAsia="宋体" w:cs="宋体"/>
          <w:b w:val="0"/>
          <w:color w:val="000000"/>
          <w:sz w:val="24"/>
        </w:rPr>
        <w:t>[4] 本项目. 冻结八案例完整运行记录[DS]. 2026-09-29. results.json；冻结文件摘要；源码快照；分层事实审计。</w:t>
      </w:r>
    </w:p>
    <w:p w14:paraId="7589792F">
      <w:pPr>
        <w:widowControl/>
        <w:spacing w:before="0" w:after="60" w:line="360" w:lineRule="auto"/>
        <w:ind w:firstLine="0"/>
        <w:jc w:val="left"/>
      </w:pPr>
      <w:r>
        <w:rPr>
          <w:rFonts w:ascii="宋体" w:hAnsi="宋体" w:eastAsia="宋体" w:cs="宋体"/>
          <w:b w:val="0"/>
          <w:color w:val="000000"/>
          <w:sz w:val="24"/>
        </w:rPr>
        <w:t>[5] 本项目. h03 原始候选与反馈记录[DS]. 2026-09-29. 首候选；第二候选；失败进入下一请求。</w:t>
      </w:r>
    </w:p>
    <w:sectPr>
      <w:footerReference r:id="rId10" w:type="default"/>
      <w:pgSz w:w="11906" w:h="16838"/>
      <w:pgMar w:top="1440" w:right="1466" w:bottom="1440" w:left="1620" w:header="851" w:footer="992" w:gutter="0"/>
      <w:cols w:space="720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FKai-SB">
    <w:altName w:val="Microsoft JhengHei Light"/>
    <w:panose1 w:val="00000000000000000000"/>
    <w:charset w:val="88"/>
    <w:family w:val="script"/>
    <w:pitch w:val="default"/>
    <w:sig w:usb0="00000000" w:usb1="00000000" w:usb2="00000016" w:usb3="00000000" w:csb0="00100001" w:csb1="00000000"/>
  </w:font>
  <w:font w:name="Microsoft JhengHei Light">
    <w:panose1 w:val="020B0304030504040204"/>
    <w:charset w:val="88"/>
    <w:family w:val="auto"/>
    <w:pitch w:val="default"/>
    <w:sig w:usb0="8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804933">
    <w:pPr>
      <w:pStyle w:val="3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CD8196A">
    <w:pPr>
      <w:pStyle w:val="3"/>
      <w:framePr w:wrap="around" w:vAnchor="text" w:hAnchor="margin" w:xAlign="center" w:y="1"/>
      <w:rPr>
        <w:rStyle w:val="8"/>
      </w:rPr>
    </w:pPr>
    <w:r>
      <w:rPr>
        <w:rStyle w:val="8"/>
      </w:rPr>
      <w:fldChar w:fldCharType="begin"/>
    </w:r>
    <w:r>
      <w:rPr>
        <w:rStyle w:val="8"/>
      </w:rPr>
      <w:instrText xml:space="preserve">PAGE  </w:instrText>
    </w:r>
    <w:r>
      <w:rPr>
        <w:rStyle w:val="8"/>
      </w:rPr>
      <w:fldChar w:fldCharType="separate"/>
    </w:r>
    <w:r>
      <w:rPr>
        <w:rStyle w:val="8"/>
      </w:rPr>
      <w:t>1</w:t>
    </w:r>
    <w:r>
      <w:rPr>
        <w:rStyle w:val="8"/>
      </w:rPr>
      <w:fldChar w:fldCharType="end"/>
    </w:r>
  </w:p>
  <w:p w14:paraId="08DF9D37">
    <w:pPr>
      <w:pStyle w:val="3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7327943">
    <w:pPr>
      <w:pStyle w:val="3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CB24DB6">
    <w:pPr>
      <w:widowControl/>
      <w:spacing w:before="0" w:after="60" w:line="360" w:lineRule="auto"/>
      <w:ind w:firstLine="0"/>
      <w:jc w:val="center"/>
    </w:pPr>
    <w:r>
      <w:rPr>
        <w:rFonts w:ascii="宋体" w:hAnsi="宋体" w:eastAsia="宋体" w:cs="宋体"/>
        <w:b w:val="0"/>
        <w:color w:val="000000"/>
        <w:sz w:val="24"/>
      </w:rPr>
      <w:t xml:space="preserve">第 </w:t>
    </w:r>
    <w:r>
      <w:rPr>
        <w:rFonts w:ascii="宋体" w:hAnsi="宋体" w:eastAsia="宋体" w:cs="宋体"/>
        <w:color w:val="000000"/>
        <w:sz w:val="24"/>
      </w:rPr>
      <w:fldChar w:fldCharType="begin"/>
    </w:r>
    <w:r>
      <w:rPr>
        <w:rFonts w:ascii="宋体" w:hAnsi="宋体" w:eastAsia="宋体" w:cs="宋体"/>
        <w:color w:val="000000"/>
        <w:sz w:val="24"/>
      </w:rPr>
      <w:instrText xml:space="preserve"> PAGE </w:instrText>
    </w:r>
    <w:r>
      <w:rPr>
        <w:rFonts w:ascii="宋体" w:hAnsi="宋体" w:eastAsia="宋体" w:cs="宋体"/>
        <w:color w:val="000000"/>
        <w:sz w:val="24"/>
      </w:rPr>
      <w:fldChar w:fldCharType="separate"/>
    </w:r>
    <w:r>
      <w:rPr>
        <w:rFonts w:ascii="宋体" w:hAnsi="宋体" w:eastAsia="宋体" w:cs="宋体"/>
        <w:color w:val="000000"/>
        <w:sz w:val="24"/>
      </w:rPr>
      <w:t>3</w:t>
    </w:r>
    <w:r>
      <w:rPr>
        <w:rFonts w:ascii="宋体" w:hAnsi="宋体" w:eastAsia="宋体" w:cs="宋体"/>
        <w:color w:val="000000"/>
        <w:sz w:val="24"/>
      </w:rPr>
      <w:fldChar w:fldCharType="end"/>
    </w:r>
    <w:r>
      <w:rPr>
        <w:rFonts w:ascii="宋体" w:hAnsi="宋体" w:eastAsia="宋体" w:cs="宋体"/>
        <w:b w:val="0"/>
        <w:color w:val="000000"/>
        <w:sz w:val="24"/>
      </w:rPr>
      <w:t xml:space="preserve"> 页 共 </w:t>
    </w:r>
    <w:r>
      <w:rPr>
        <w:rFonts w:ascii="宋体" w:hAnsi="宋体" w:eastAsia="宋体" w:cs="宋体"/>
        <w:color w:val="000000"/>
        <w:sz w:val="24"/>
      </w:rPr>
      <w:fldChar w:fldCharType="begin"/>
    </w:r>
    <w:r>
      <w:rPr>
        <w:rFonts w:ascii="宋体" w:hAnsi="宋体" w:eastAsia="宋体" w:cs="宋体"/>
        <w:color w:val="000000"/>
        <w:sz w:val="24"/>
      </w:rPr>
      <w:instrText xml:space="preserve"> NUMPAGES </w:instrText>
    </w:r>
    <w:r>
      <w:rPr>
        <w:rFonts w:ascii="宋体" w:hAnsi="宋体" w:eastAsia="宋体" w:cs="宋体"/>
        <w:color w:val="000000"/>
        <w:sz w:val="24"/>
      </w:rPr>
      <w:fldChar w:fldCharType="separate"/>
    </w:r>
    <w:r>
      <w:rPr>
        <w:rFonts w:ascii="宋体" w:hAnsi="宋体" w:eastAsia="宋体" w:cs="宋体"/>
        <w:color w:val="000000"/>
        <w:sz w:val="24"/>
      </w:rPr>
      <w:t>11</w:t>
    </w:r>
    <w:r>
      <w:rPr>
        <w:rFonts w:ascii="宋体" w:hAnsi="宋体" w:eastAsia="宋体" w:cs="宋体"/>
        <w:color w:val="000000"/>
        <w:sz w:val="24"/>
      </w:rPr>
      <w:fldChar w:fldCharType="end"/>
    </w:r>
    <w:r>
      <w:rPr>
        <w:rFonts w:ascii="宋体" w:hAnsi="宋体" w:eastAsia="宋体" w:cs="宋体"/>
        <w:b w:val="0"/>
        <w:color w:val="000000"/>
        <w:sz w:val="24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E8AACE">
    <w:pPr>
      <w:pStyle w:val="4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35413FD">
    <w:pPr>
      <w:pStyle w:val="4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docVars>
    <w:docVar w:name="commondata" w:val="eyJoZGlkIjoiNGNlYTNjYzhkOWI3ZTcwMWJiOTE2ZjU4NjBhNGZhZjQifQ=="/>
  </w:docVars>
  <w:rsids>
    <w:rsidRoot w:val="00000000"/>
    <w:rsid w:val="22202C58"/>
    <w:rsid w:val="34871393"/>
    <w:rsid w:val="528E708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0" w:line="360" w:lineRule="auto"/>
      <w:jc w:val="both"/>
    </w:pPr>
    <w:rPr>
      <w:rFonts w:ascii="宋体" w:hAnsi="宋体" w:eastAsia="宋体" w:cs="宋体"/>
      <w:color w:val="000000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  <w:lang w:val="zh-CN"/>
    </w:rPr>
  </w:style>
  <w:style w:type="character" w:default="1" w:styleId="7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  <w:lang w:val="zh-CN"/>
    </w:rPr>
  </w:style>
  <w:style w:type="paragraph" w:styleId="4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5">
    <w:name w:val="toc 1"/>
    <w:basedOn w:val="1"/>
    <w:next w:val="1"/>
    <w:qFormat/>
    <w:uiPriority w:val="39"/>
    <w:pPr>
      <w:spacing w:after="0" w:line="360" w:lineRule="auto"/>
    </w:pPr>
    <w:rPr>
      <w:rFonts w:ascii="宋体" w:hAnsi="宋体" w:eastAsia="宋体" w:cs="宋体"/>
      <w:color w:val="000000"/>
      <w:sz w:val="24"/>
    </w:rPr>
  </w:style>
  <w:style w:type="character" w:styleId="8">
    <w:name w:val="page number"/>
    <w:basedOn w:val="7"/>
    <w:qFormat/>
    <w:uiPriority w:val="0"/>
  </w:style>
  <w:style w:type="character" w:styleId="9">
    <w:name w:val="Hyperlink"/>
    <w:qFormat/>
    <w:uiPriority w:val="99"/>
    <w:rPr>
      <w:color w:val="000066"/>
      <w:u w:val="none"/>
    </w:rPr>
  </w:style>
  <w:style w:type="paragraph" w:customStyle="1" w:styleId="10">
    <w:name w:val="Title"/>
    <w:uiPriority w:val="0"/>
    <w:rPr>
      <w:rFonts w:ascii="黑体" w:hAnsi="黑体" w:eastAsia="宋体" w:cs="Times New Roman"/>
      <w:color w:val="000000"/>
      <w:sz w:val="52"/>
    </w:rPr>
  </w:style>
  <w:style w:type="paragraph" w:customStyle="1" w:styleId="11">
    <w:name w:val="heading 2"/>
    <w:basedOn w:val="1"/>
    <w:qFormat/>
    <w:uiPriority w:val="0"/>
    <w:pPr>
      <w:outlineLvl w:val="1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3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image" Target="media/image2.jpe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4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0</Words>
  <Characters>0</Characters>
  <Lines>0</Lines>
  <Paragraphs>0</Paragraphs>
  <TotalTime>0</TotalTime>
  <ScaleCrop>false</ScaleCrop>
  <LinksUpToDate>false</LinksUpToDate>
  <CharactersWithSpaces>0</CharactersWithSpaces>
  <Application>WPS Office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2023-05-19T13:50:00Z</dcterms:created>
  <cp:keywords>运行时凭据 本地智能体 受控修复</cp:keywords>
  <dcterms:modified xsi:type="dcterms:W3CDTF">2026-09-30T03:40:24Z</dcterms:modified>
  <dc:subject>中国研究生网络安全创新大赛 创意作品赛</dc:subject>
  <dc:title>密证 CredProof——面向 AI 工具的凭据泄露验证与受控修复系统</dc:title>
</cp:coreProperties>
</file>