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pStyle w:val="10"/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</w:t>
      </w:r>
      <w:r>
        <w:rPr>
          <w:rFonts w:ascii="黑体" w:hAnsi="黑体" w:eastAsia="黑体" w:cs="黑体"/>
          <w:b/>
          <w:color w:val="000000"/>
          <w:sz w:val="32"/>
        </w:rPr>
        <w:br w:type="textWrapping"/>
      </w:r>
      <w:r>
        <w:rPr>
          <w:rFonts w:ascii="黑体" w:hAnsi="黑体" w:eastAsia="黑体" w:cs="黑体"/>
          <w:b/>
          <w:color w:val="000000"/>
          <w:sz w:val="32"/>
        </w:rPr>
        <w:t>面向 AI 工具的凭据泄露验证与受控修复系统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提交日期：待填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headerReference r:id="rId6" w:type="first"/>
          <w:footerReference r:id="rId9" w:type="first"/>
          <w:headerReference r:id="rId5" w:type="default"/>
          <w:footerReference r:id="rId7" w:type="default"/>
          <w:footerReference r:id="rId8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 xml:space="preserve">1. </w:t>
      </w:r>
      <w:r>
        <w:rPr>
          <w:rFonts w:ascii="宋体" w:hAnsi="宋体" w:eastAsia="宋体" w:cs="宋体"/>
          <w:bCs/>
          <w:color w:val="000000"/>
          <w:sz w:val="24"/>
        </w:rPr>
        <w:t>所有参赛</w:t>
      </w:r>
      <w:r>
        <w:rPr>
          <w:rFonts w:hint="eastAsia" w:ascii="宋体" w:hAnsi="宋体" w:eastAsia="宋体" w:cs="宋体"/>
          <w:bCs/>
          <w:color w:val="000000"/>
          <w:sz w:val="24"/>
        </w:rPr>
        <w:t>项目</w:t>
      </w:r>
      <w:r>
        <w:rPr>
          <w:rFonts w:ascii="宋体" w:hAnsi="宋体" w:eastAsia="宋体" w:cs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eastAsia="宋体" w:cs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eastAsia="宋体" w:cs="宋体"/>
          <w:bCs/>
          <w:color w:val="000000"/>
          <w:sz w:val="24"/>
        </w:rPr>
        <w:t>方案</w:t>
      </w:r>
      <w:r>
        <w:rPr>
          <w:rFonts w:hint="eastAsia" w:ascii="宋体" w:hAnsi="宋体" w:eastAsia="宋体" w:cs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F82EE2D">
      <w:pPr>
        <w:spacing w:after="20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 w14:paraId="0D0AAF1D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  <w:sz w:val="24"/>
        </w:rPr>
        <w:fldChar w:fldCharType="begin"/>
      </w:r>
      <w:r>
        <w:rPr>
          <w:rFonts w:ascii="宋体" w:hAnsi="宋体" w:eastAsia="宋体" w:cs="宋体"/>
          <w:color w:val="000000"/>
          <w:sz w:val="24"/>
        </w:rPr>
        <w:instrText xml:space="preserve"> TOC \o "1-1" \h \z \u </w:instrText>
      </w:r>
      <w:r>
        <w:rPr>
          <w:rFonts w:ascii="宋体" w:hAnsi="宋体" w:eastAsia="宋体" w:cs="宋体"/>
          <w:color w:val="000000"/>
          <w:sz w:val="24"/>
        </w:rPr>
        <w:fldChar w:fldCharType="separate"/>
      </w: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_Toc11374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摘要</w:t>
      </w:r>
      <w:r>
        <w:tab/>
      </w:r>
      <w:r>
        <w:fldChar w:fldCharType="begin"/>
      </w:r>
      <w:r>
        <w:instrText xml:space="preserve"> PAGEREF _Toc11374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633FF99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_Toc11252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第一章 作品概述</w:t>
      </w:r>
      <w:r>
        <w:tab/>
      </w:r>
      <w:r>
        <w:fldChar w:fldCharType="begin"/>
      </w:r>
      <w:r>
        <w:instrText xml:space="preserve"> PAGEREF _Toc11252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9B75D44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_Toc27184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第二章 作品设计与实现</w:t>
      </w:r>
      <w:r>
        <w:tab/>
      </w:r>
      <w:r>
        <w:fldChar w:fldCharType="begin"/>
      </w:r>
      <w:r>
        <w:instrText xml:space="preserve"> PAGEREF _Toc27184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C34D14C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_Toc22593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第三章 作品测试与分析</w:t>
      </w:r>
      <w:r>
        <w:tab/>
      </w:r>
      <w:r>
        <w:fldChar w:fldCharType="begin"/>
      </w:r>
      <w:r>
        <w:instrText xml:space="preserve"> PAGEREF _Toc22593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8248154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_Toc13869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第四章 创新性说明</w:t>
      </w:r>
      <w:r>
        <w:tab/>
      </w:r>
      <w:r>
        <w:fldChar w:fldCharType="begin"/>
      </w:r>
      <w:r>
        <w:instrText xml:space="preserve"> PAGEREF _Toc13869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2F4AB764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_Toc31933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第五章 总结</w:t>
      </w:r>
      <w:r>
        <w:tab/>
      </w:r>
      <w:r>
        <w:fldChar w:fldCharType="begin"/>
      </w:r>
      <w:r>
        <w:instrText xml:space="preserve"> PAGEREF _Toc31933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D3A4904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_Toc15871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参考文献</w:t>
      </w:r>
      <w:r>
        <w:tab/>
      </w:r>
      <w:r>
        <w:fldChar w:fldCharType="begin"/>
      </w:r>
      <w:r>
        <w:instrText xml:space="preserve"> PAGEREF _Toc15871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1DE2BBD7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color w:val="000000"/>
        </w:rPr>
        <w:fldChar w:fldCharType="end"/>
      </w:r>
    </w:p>
    <w:p w14:paraId="68AA39FD">
      <w:pPr>
        <w:pStyle w:val="2"/>
        <w:keepNext/>
        <w:spacing w:before="160" w:after="100" w:line="360" w:lineRule="auto"/>
        <w:ind w:firstLine="0"/>
        <w:jc w:val="center"/>
      </w:pPr>
      <w:bookmarkStart w:id="0" w:name="_Toc11374"/>
      <w:r>
        <w:rPr>
          <w:rFonts w:ascii="黑体" w:hAnsi="黑体" w:eastAsia="黑体" w:cs="黑体"/>
          <w:b/>
          <w:color w:val="000000"/>
          <w:sz w:val="32"/>
        </w:rPr>
        <w:t>摘要</w:t>
      </w:r>
      <w:bookmarkEnd w:id="0"/>
    </w:p>
    <w:p w14:paraId="1D46749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工具能完成任务，不代表它只做了被允许的事：凭据可能进入日志或异常返回，代码可能读取规定目录之外的文件，也可能请求未授权服务。密证 CredProof 面向维护自有或授权 Python 工具的开发者和安全人员，将这些问题放进同一条可复查流程。人工提供入口、允许目录/服务和必要业务测试；固定程序在隔离副本中观察三类安全行为并检查业务；本地模型只提出候选修改，程序决定是否接受。h01 展示模型补足参数日志路径，h03 展示失败回执带来第二份候选，h07 展示无确认泄露时保持原代码。冻结八例的完整任务仍为 6/8，失败和未完成保留。python-dotenv 外部案例单列，证明的是一个窄组件接入。最后交付候选差异、新生成的安全报告和以后可再次执行的导出测试。</w:t>
      </w:r>
    </w:p>
    <w:p w14:paraId="2B57167A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b w:val="0"/>
          <w:color w:val="000000"/>
          <w:sz w:val="24"/>
        </w:rPr>
        <w:t>关键词：运行时凭据；本地智能体；受控修复；证据反馈；材料复检</w:t>
      </w:r>
    </w:p>
    <w:p w14:paraId="70A0EB75">
      <w:r>
        <w:br w:type="page"/>
      </w:r>
    </w:p>
    <w:p w14:paraId="6F9C47F3">
      <w:pPr>
        <w:pStyle w:val="2"/>
        <w:keepNext/>
        <w:spacing w:before="160" w:after="100" w:line="360" w:lineRule="auto"/>
        <w:ind w:firstLine="0"/>
        <w:jc w:val="center"/>
      </w:pPr>
      <w:bookmarkStart w:id="1" w:name="_Toc11252"/>
      <w:r>
        <w:rPr>
          <w:rFonts w:ascii="黑体" w:hAnsi="黑体" w:eastAsia="黑体" w:cs="黑体"/>
          <w:b/>
          <w:color w:val="000000"/>
          <w:sz w:val="32"/>
        </w:rPr>
        <w:t>第一章 作品概述</w:t>
      </w:r>
      <w:bookmarkEnd w:id="1"/>
    </w:p>
    <w:p w14:paraId="41C1461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作品价值</w:t>
      </w:r>
    </w:p>
    <w:p w14:paraId="3FA5680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密证服务于维护自有或获授权 Python 工具、AI 工具及相关组件的开发者和安全人员。使用时刻是：工具已经出现凭据可能进入异常返回、日志或其他禁止输出通道的迹象，需要确认问题、修改代码，并判断候选补丁是否可以交付。</w:t>
      </w:r>
    </w:p>
    <w:p w14:paraId="341E9BB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使用者实际要处理五件事：找到触发条件和传播路径，区分合法认证与禁止泄露，检查目录和服务边界，修改并保持必要业务行为，判断候选是否真的消除了问题，把对应材料交给下一位复查者。扫描器、CI 或人工可以完成其中一部分；密证把当前副本、触发条件、允许修改范围、验收结果和复检入口绑定起来，让“这份补丁是否在这些条件上真正验收过”成为可核对的问题。</w:t>
      </w:r>
    </w:p>
    <w:p w14:paraId="28D794B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让 AI 提出修复，让程序决定是否接受，让开发者能够复查。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人工适配是使用前提：人工仍需提供授权范围、适配入口、可信需求和必要业务条件；本地模型只在这些边界内提出候选，固定程序负责证据、权限和判定。</w:t>
      </w:r>
    </w:p>
    <w:p w14:paraId="42CA8D0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三个作品特点</w:t>
      </w:r>
    </w:p>
    <w:p w14:paraId="1ECD431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证据反馈驱动的候选修复。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固定程序先执行受控触发，模型读取代码与脱敏观察，提出候选；失败回执可进入后续请求。h01 支持固定启发式之外的有限增量，h03 支持一次真实反馈调整。两例的作用不同，不合并成更大的成功故事。</w:t>
      </w:r>
    </w:p>
    <w:p w14:paraId="58E9B46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程序实施修改授权和安全/业务联合验收。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模型不能修改需求、裁判或原工作区。当前副本有有效泄露证据且候选在允许范围内，才进入检查；安全通道、认证行为、成功响应、拒绝和异常条件共同决定结果。h07 中没有确认泄露，原代码保持不变。</w:t>
      </w:r>
    </w:p>
    <w:p w14:paraId="45CF0CD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对应对象的材料交付与独立复检。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导出原件、当前候选、规则和轨迹；复检重新读取材料并区分旧报告适用性、历史材料完整性和当前 PASS/FAIL/UNKNOWN。对象或规则变化时不沿用旧缓存结论。</w:t>
      </w:r>
    </w:p>
    <w:p w14:paraId="7E4564F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应用场景与技术基础</w:t>
      </w:r>
    </w:p>
    <w:p w14:paraId="38807A7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适用于教学实验、团队自有认证工具及内部授权组件。开发者可以定位凭据输出、越界文件读取和未授权网络请求，比较候选差异，把对应材料交给他人复检；正常工具经验证后保持原样。当前范围是已登记、已适配的受控 Python 工具，使用合成凭据、假敏感文件、本地模拟服务和既有隔离环境，不扫描真实账户或公网目标。</w:t>
      </w:r>
    </w:p>
    <w:p w14:paraId="44901C0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系统采用 Qwen3-Coder、Qwen-Agent 和 Ollama[1–3]。这些是公开复用基础；项目自行实现受限工具、证据授权、完成控制、裁判与案例、过程记录、对象绑定复检和工作台。人工、固定程序与模型的职责在第二章明确区分。</w:t>
      </w:r>
    </w:p>
    <w:p w14:paraId="4A57BC13">
      <w:pPr>
        <w:pStyle w:val="2"/>
        <w:keepNext/>
        <w:spacing w:before="160" w:after="100" w:line="360" w:lineRule="auto"/>
        <w:ind w:firstLine="0"/>
        <w:jc w:val="center"/>
      </w:pPr>
      <w:bookmarkStart w:id="2" w:name="_Toc27184"/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  <w:bookmarkEnd w:id="2"/>
    </w:p>
    <w:p w14:paraId="62CC59B2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系统组成与数据流程</w:t>
      </w:r>
    </w:p>
    <w:p w14:paraId="3C9BB7A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系统由单页与 Python 后端、受控会话、模型接口、隔离执行器、裁判和复检模块组成。人工先固定代码、需求、允许修改范围和规则；固定程序用成功、拒绝和服务异常条件形成初始证据；模型读取代码和脱敏观察，提出假设、选择结构化工具、提交候选并请求验证。</w:t>
      </w:r>
    </w:p>
    <w:p w14:paraId="3C6F751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候选只写入副本。程序核对权限，隔离执行器采集行为，裁判检查安全与功能，再依据必要条件确认任务状态。工作台把模型分析、程序确认和任务状态分开显示，历史回放、确定性复检和现场推理有独立标识。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77D9B10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1B51A41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角色</w:t>
            </w:r>
          </w:p>
        </w:tc>
        <w:tc>
          <w:tcPr>
            <w:tcW w:w="3798" w:type="dxa"/>
            <w:vAlign w:val="center"/>
          </w:tcPr>
          <w:p w14:paraId="2493F42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负责什么</w:t>
            </w:r>
          </w:p>
        </w:tc>
        <w:tc>
          <w:tcPr>
            <w:tcW w:w="2891" w:type="dxa"/>
            <w:vAlign w:val="center"/>
          </w:tcPr>
          <w:p w14:paraId="6FFB8FC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不负责什么</w:t>
            </w:r>
          </w:p>
        </w:tc>
      </w:tr>
      <w:tr w14:paraId="7EC541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5B2B5A0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人工</w:t>
            </w:r>
          </w:p>
        </w:tc>
        <w:tc>
          <w:tcPr>
            <w:tcW w:w="3798" w:type="dxa"/>
            <w:vAlign w:val="center"/>
          </w:tcPr>
          <w:p w14:paraId="378468B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授权范围、输入输出契约、必要业务条件和最终发布决定</w:t>
            </w:r>
          </w:p>
        </w:tc>
        <w:tc>
          <w:tcPr>
            <w:tcW w:w="2891" w:type="dxa"/>
            <w:vAlign w:val="center"/>
          </w:tcPr>
          <w:p w14:paraId="48743F6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不把模型猜测直接当作漏洞结论</w:t>
            </w:r>
          </w:p>
        </w:tc>
      </w:tr>
      <w:tr w14:paraId="4FFF4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6E01388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固定程序</w:t>
            </w:r>
          </w:p>
        </w:tc>
        <w:tc>
          <w:tcPr>
            <w:tcW w:w="3798" w:type="dxa"/>
            <w:vAlign w:val="center"/>
          </w:tcPr>
          <w:p w14:paraId="334222E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初始证据、工具协议、路径权限、隔离执行、安全/业务判定、材料绑定</w:t>
            </w:r>
          </w:p>
        </w:tc>
        <w:tc>
          <w:tcPr>
            <w:tcW w:w="2891" w:type="dxa"/>
            <w:vAlign w:val="center"/>
          </w:tcPr>
          <w:p w14:paraId="3A53490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不替模型理解任意代码</w:t>
            </w:r>
          </w:p>
        </w:tc>
      </w:tr>
      <w:tr w14:paraId="7C955A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0487B0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本地模型</w:t>
            </w:r>
          </w:p>
        </w:tc>
        <w:tc>
          <w:tcPr>
            <w:tcW w:w="3798" w:type="dxa"/>
            <w:vAlign w:val="center"/>
          </w:tcPr>
          <w:p w14:paraId="24910C5B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代码理解、触发假设、工具选择和候选补丁</w:t>
            </w:r>
          </w:p>
        </w:tc>
        <w:tc>
          <w:tcPr>
            <w:tcW w:w="2891" w:type="dxa"/>
            <w:vAlign w:val="center"/>
          </w:tcPr>
          <w:p w14:paraId="734E051F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不修改裁判、需求或隔离设施，不直接指定 PASS</w:t>
            </w:r>
          </w:p>
        </w:tc>
      </w:tr>
    </w:tbl>
    <w:p w14:paraId="7F3F6F40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75729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059B6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1 运行证据约束下的候选修复与验收流程</w:t>
      </w:r>
    </w:p>
    <w:p w14:paraId="0CCBF162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凭据使用与业务契约</w:t>
      </w:r>
    </w:p>
    <w:p w14:paraId="2CE224F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原合成任务的被测工具实现 tool.run(request, auth_service)。有效请求具有非空 request_id、resource、1 至 5 的整数 units 和可选布尔 debug。工具从指定环境变量读取执行侧生成的随机合成凭据，并向本地 mock 认证服务调用一次；该认证实参是允许使用凭据的通道。</w:t>
      </w:r>
    </w:p>
    <w:p w14:paraId="3E1907E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返回内容与键、异常文本、stdout、stderr、logging 属于禁止泄露通道。执行器采集实际输出，裁判按固定矩阵检查完整凭据值。业务检查同时核对认证次数与实参、成功响应、拒绝和服务异常；无效输入不得调用认证。这样，删除认证、常量成功或吞掉异常都不能替代合格修复。</w:t>
      </w:r>
    </w:p>
    <w:p w14:paraId="7D413EF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原始值保留在执行侧，模型只见脱敏观察与失败类别。受控运行接收结构化请求和认证条件，原合成任务完整验收对所有候选采用相同的 13 项条件。外部组件按预先固定的独立接口条件验收，单独记录，不并入原批次。</w:t>
      </w:r>
    </w:p>
    <w:p w14:paraId="73F676A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程序控制的修改与完成</w:t>
      </w:r>
    </w:p>
    <w:p w14:paraId="4452773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会话把原始对象、规则和触发条件关联起来。仅当前有效泄露证据授权写入候选；没有确认依据时保留原代码，并记录模型的疑点。工具调用经过协议解析、参数与路径校验，补丁只能替换候选工具，可信需求、裁判和执行设施保持固定。候选执行前还要满足受限 Python 语法规则。</w:t>
      </w:r>
    </w:p>
    <w:p w14:paraId="20593C1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执行使用 WSL/Linux 隔离设施，通过命名空间、只读挂载、资源限制和系统调用约束控制运行能力。程序记录每项检查的 PASS、FAIL 或 UNKNOWN。FAIL 可以触发预算内的反馈调整；满足当前对象的全部完成条件后，执行器才确认任务完成。请求次数、候选数、上下文和时间均有上限，错误或超时保留到记录中。</w:t>
      </w:r>
    </w:p>
    <w:p w14:paraId="4EEC4E2D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EE120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2 真实工作台中的证据与独立任务状态</w:t>
      </w:r>
    </w:p>
    <w:p w14:paraId="152D03A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工作台与对象对应的复检</w:t>
      </w:r>
    </w:p>
    <w:p w14:paraId="7134A1A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工作台分别展示模型判断、程序确认和任务状态，可展开真实证据、代码差异及每次验收回执。请求、响应、调用实参与候选一同保存，支持回到具体失败步骤。</w:t>
      </w:r>
    </w:p>
    <w:p w14:paraId="15ECE66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材料包包含原始与当前副本、可信需求、配置、报告、轨迹、校验信息和复检源码。复检无需重新调用模型，而是在已准备的隔离设施上重读当前对象并重新执行固定条件。源文件、候选、规则或材料变化时，旧缓存包和旧复检结论不能继续作为当前结果复用。</w:t>
      </w:r>
    </w:p>
    <w:p w14:paraId="79756BB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复检分别报告旧报告适用性、历史材料完整性和当前验收。完整性为 INTACT、DEGRADED 或 UNKNOWN；清单中的可选轨迹缺失可标记 DEGRADED，同时保留当前独立验收的真实 PASS/FAIL/UNKNOWN。旧报告失效与当前对象失败分别处理，因此一个变化后的对象仍可能通过新的检查。</w:t>
      </w:r>
    </w:p>
    <w:p w14:paraId="068F74C9">
      <w:pPr>
        <w:pStyle w:val="2"/>
        <w:keepNext/>
        <w:spacing w:before="160" w:after="100" w:line="360" w:lineRule="auto"/>
        <w:ind w:firstLine="0"/>
        <w:jc w:val="center"/>
      </w:pPr>
      <w:bookmarkStart w:id="3" w:name="_Toc22593"/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  <w:bookmarkEnd w:id="3"/>
    </w:p>
    <w:p w14:paraId="1A58DEB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固定测试设计</w:t>
      </w:r>
    </w:p>
    <w:p w14:paraId="0690A0B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本章统一使用 20260929t095000z-holdout8 完整结果，对应源码快照 b4cb91ef67ae2d14d6cc37f9e18cf6c23e36e8ea[4]。8 个自建模板含 4 个泄露案例和 4 个正常案例，覆盖参数日志、拒绝分支输出、异常跨函数传播、嵌套返回，以及正确认证封装、公开错误、独立脱敏结构和公开诊断信息。</w:t>
      </w:r>
    </w:p>
    <w:p w14:paraId="42DB051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各模板在执行方法前登记需求、标签和断言，每个对象检查 13 项固定条件。A/B/C 共享三项公开初始诊断。A 是本项目固定启发式修复程序；B 为一次模型生成；C 为有工具反馈的 Agent，最多 12 次模型请求、3 个候选。该轮采用 Qwen-Agent 0.0.34、Ollama 0.34.4、qwen3-coder:30b Q4_K_M 和 16K 上下文，监督命令退出 0，冻结文件保持一致。</w:t>
      </w:r>
    </w:p>
    <w:p w14:paraId="65CB605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完整对照结果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417"/>
        <w:gridCol w:w="1417"/>
        <w:gridCol w:w="1417"/>
        <w:gridCol w:w="1417"/>
        <w:gridCol w:w="1417"/>
      </w:tblGrid>
      <w:tr w14:paraId="12D974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9" w:type="dxa"/>
            <w:vAlign w:val="center"/>
          </w:tcPr>
          <w:p w14:paraId="70FE41B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方法</w:t>
            </w:r>
          </w:p>
        </w:tc>
        <w:tc>
          <w:tcPr>
            <w:tcW w:w="1417" w:type="dxa"/>
            <w:vAlign w:val="center"/>
          </w:tcPr>
          <w:p w14:paraId="6372E55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问题修复</w:t>
            </w:r>
          </w:p>
        </w:tc>
        <w:tc>
          <w:tcPr>
            <w:tcW w:w="1417" w:type="dxa"/>
            <w:vAlign w:val="center"/>
          </w:tcPr>
          <w:p w14:paraId="446E09E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正常通过</w:t>
            </w:r>
          </w:p>
        </w:tc>
        <w:tc>
          <w:tcPr>
            <w:tcW w:w="1417" w:type="dxa"/>
            <w:vAlign w:val="center"/>
          </w:tcPr>
          <w:p w14:paraId="1E01C66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对象通过</w:t>
            </w:r>
          </w:p>
        </w:tc>
        <w:tc>
          <w:tcPr>
            <w:tcW w:w="1417" w:type="dxa"/>
            <w:vAlign w:val="center"/>
          </w:tcPr>
          <w:p w14:paraId="5B3B449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任务完成</w:t>
            </w:r>
          </w:p>
        </w:tc>
        <w:tc>
          <w:tcPr>
            <w:tcW w:w="1417" w:type="dxa"/>
            <w:vAlign w:val="center"/>
          </w:tcPr>
          <w:p w14:paraId="118B4AF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误修改</w:t>
            </w:r>
          </w:p>
        </w:tc>
      </w:tr>
      <w:tr w14:paraId="484F75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1175021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 固定程序</w:t>
            </w:r>
          </w:p>
        </w:tc>
        <w:tc>
          <w:tcPr>
            <w:tcW w:w="1417" w:type="dxa"/>
            <w:vAlign w:val="center"/>
          </w:tcPr>
          <w:p w14:paraId="4E915BC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3/4</w:t>
            </w:r>
          </w:p>
        </w:tc>
        <w:tc>
          <w:tcPr>
            <w:tcW w:w="1417" w:type="dxa"/>
            <w:vAlign w:val="center"/>
          </w:tcPr>
          <w:p w14:paraId="6002CB7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290E3B5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47DE240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75CD44E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028F3D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66C06F6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 一次生成</w:t>
            </w:r>
          </w:p>
        </w:tc>
        <w:tc>
          <w:tcPr>
            <w:tcW w:w="1417" w:type="dxa"/>
            <w:vAlign w:val="center"/>
          </w:tcPr>
          <w:p w14:paraId="32F8A71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1/4</w:t>
            </w:r>
          </w:p>
        </w:tc>
        <w:tc>
          <w:tcPr>
            <w:tcW w:w="1417" w:type="dxa"/>
            <w:vAlign w:val="center"/>
          </w:tcPr>
          <w:p w14:paraId="317EA32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27EBF88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5/8</w:t>
            </w:r>
          </w:p>
        </w:tc>
        <w:tc>
          <w:tcPr>
            <w:tcW w:w="1417" w:type="dxa"/>
            <w:vAlign w:val="center"/>
          </w:tcPr>
          <w:p w14:paraId="1F06370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4/8</w:t>
            </w:r>
          </w:p>
        </w:tc>
        <w:tc>
          <w:tcPr>
            <w:tcW w:w="1417" w:type="dxa"/>
            <w:vAlign w:val="center"/>
          </w:tcPr>
          <w:p w14:paraId="065B64F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65B4F6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469C1B44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 反馈模型</w:t>
            </w:r>
          </w:p>
        </w:tc>
        <w:tc>
          <w:tcPr>
            <w:tcW w:w="1417" w:type="dxa"/>
            <w:vAlign w:val="center"/>
          </w:tcPr>
          <w:p w14:paraId="1ED2E795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305CD75B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443DFFC6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8/8</w:t>
            </w:r>
          </w:p>
        </w:tc>
        <w:tc>
          <w:tcPr>
            <w:tcW w:w="1417" w:type="dxa"/>
            <w:vAlign w:val="center"/>
          </w:tcPr>
          <w:p w14:paraId="2ADFDF1F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6/8</w:t>
            </w:r>
          </w:p>
        </w:tc>
        <w:tc>
          <w:tcPr>
            <w:tcW w:w="1417" w:type="dxa"/>
            <w:vAlign w:val="center"/>
          </w:tcPr>
          <w:p w14:paraId="735CCE5C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</w:tbl>
    <w:p w14:paraId="47430D9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“合格修复”表示问题例的最终对象满足固定检查；“完整任务”要求执行器对当前对象形成完成状态。C 的 h05/h06 输出正文工具标签，未形成原生工具调用和有效诊断，故原对象独立检查 PASS 仍不能补作任务完成。B 的 h07 输出 JSON 无效，也保留未完成状态。结果体现了候选能力与协议完成可靠性两个不同维度。</w:t>
      </w:r>
    </w:p>
    <w:p w14:paraId="69A6965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正常例实际修改均为 0，但原始判断仍分别记录：A 对 h05 的误判提案被证据门槛拒绝；B 有 1 例、C 有 2 例结构化诊断缺失。C 对 h07/h08 提出潜在风险疑点，未确认实际外泄。程序确认、模型原文、提案和实际改动可以逐项追溯。</w:t>
      </w:r>
    </w:p>
    <w:p w14:paraId="4067AB4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h01 补充参数日志的修复候选</w:t>
      </w:r>
    </w:p>
    <w:p w14:paraId="14DA887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凭据经 helper 参数进入 logging。本项目固定启发式 A 的污点集合没有把调用实参 credential 传递到 helper 形参 supplied，其日志根对象识别也未覆盖链式 getLogger(...).info；A 最终未修好。B 的候选仅有空白差异，也仍泄露。C 为日志另建 redacted 值，authenticate(supplied, resource) 保持原实参，最终通过安全与业务检查。这一案例展示模型在既有固定启发式之外给出有效候选的作用。</w:t>
      </w:r>
    </w:p>
    <w:p w14:paraId="4770486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h03 用真实失败反馈纠正补丁</w:t>
      </w:r>
    </w:p>
    <w:p w14:paraId="1A3DD29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第一候选把 credential= 替换为带 [REDACTED] 的前缀，真实值仍跟在后面。验证发现日志继续泄露，失败回执进入下一次模型请求；第二候选改为固定安全错误信息，检查随后通过。模型曾把失败错误归因于字面词 credential，而实际判据是合成凭据值是否残留。两份补丁与回执可在工作台核对[5]。</w:t>
      </w:r>
    </w:p>
    <w:p w14:paraId="56836CB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同轮 A 在 h03 的首补丁已经成功。该故事展示的是一次真实反馈调整过程，h01 则展示固定启发式之外的候选增益，二者评价目的不同。</w:t>
      </w:r>
    </w:p>
    <w:p w14:paraId="4D76D242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887EA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3 h03 两次候选与真实验证反馈 历史记录回放</w:t>
      </w:r>
    </w:p>
    <w:p w14:paraId="310D529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3.5 h07 正常验证后保留原代码</w:t>
      </w:r>
    </w:p>
    <w:p w14:paraId="1696E48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将认证数据与脱敏日志分开构造，日志中的认证字段已替换为固定标记。C 对脱敏逻辑提出疑点并追加受控观察，程序仍未发现凭据泄露。最终验证原对象的 13 项条件全部通过，任务以 COMPLETED_UNCHANGED 结束，没有候选补丁和实际修改。这个案例说明系统既支持必要修复，也支持在证据不足时保持正常代码。</w:t>
      </w:r>
    </w:p>
    <w:p w14:paraId="3A4A1BA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3.6 开销与适用边界</w:t>
      </w:r>
    </w:p>
    <w:p w14:paraId="3C62114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本轮 B 累计 8 次请求，输入/输出 tokens 为 12,567/4,634；C 为 31 次，99,142/6,648。方法耗时累计 A 33.538 秒、B 57.178 秒、C 74.335 秒。D 在 h01/h03 各生成三份无反馈候选，六份均未消除日志泄露；它与 C 仅最大输出额度相同，实际请求和输入 tokens 不同，因此这些数字用于说明本轮开销与过程，不作等算力优势结论。</w:t>
      </w:r>
    </w:p>
    <w:p w14:paraId="5CE599A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当前评估属于开发过程构造的合成模板评测，共享部分代码，未构成外部独立盲测；全部 14 个已有案例现作为已知回归。公开初始诊断不计作 Agent 自主发现，后续两例复测和界面完善不拼入本章成绩。A 是本项目实现，不能代称成熟扫描器；h01 与 h03 分别支持有限候选增益和一次反馈调整，不能外推普遍优越性。</w:t>
      </w:r>
    </w:p>
    <w:p w14:paraId="23BDF09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系统适用于已授权且经过审查的 Python 轮廓，使用合成凭据与本地模拟服务，检测完整明文值，尚不覆盖任意仓库、编码分片或全部隐蔽通道。需求、裁判与操作者是可信前提；操作系统隔离不等于抵抗任意 Python 内省，普通摘要也不是身份认证或数字签名。正式部署仍需组件适配和对应条件下的验证。</w:t>
      </w:r>
    </w:p>
    <w:p w14:paraId="5CE35D7F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3.7 外部开源组件接入</w:t>
      </w:r>
    </w:p>
    <w:p w14:paraId="1FFE997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为检验旧样例之外的接入可行性，本版选取 PyPA Twine 配置读取组件的公开历史问题[6]。PR #1240 记录了解析格式错误配置时，未处理异常可能将敏感内容带到控制台。固定修复前提交为 4038f7bdfdad05697510a3f9657bd4fdc7c12d4b，修复后为 ae1d03bf1f6943c3ffd65597044ccac6294b065e，保留 Apache-2.0 许可及原文件。这是真实历史问题，不是人工注入；本项目不把它声称为新发现、上游采纳或企业部署。</w:t>
      </w:r>
    </w:p>
    <w:p w14:paraId="1FEBC77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适配器只执行 get_repository_from_config 的配置文件分支，保留 get_config、URL 规范化、异常类和原有业务逻辑；只允许新增一个解析异常转换分支，不执行上传或公网认证。七项条件包括三类格式错误、两类正常配置、缺仓库和缺文件。修复前版本在三类格式错误下把合成凭据带入 stderr，其他四项通过；上游修复版七项通过。</w:t>
      </w:r>
    </w:p>
    <w:p w14:paraId="36F3D7C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一次本地模型任务共 5 次调用、3 份候选。第一份追加两个 handler，第二份使用超出固定轮廓的元组异常类型，二者在执行前因修改权限边界被拒；第三份只追加 configparser.Error 到安全 InvalidConfiguration 的转换，进入隔离后七项条件全部通过。三份候选均为合法 Python；前两份未进入动态验收，不能据此断言它们仍泄露。边界拒绝与 h03 已执行后的泄露 FAIL 分开统计。</w:t>
      </w:r>
    </w:p>
    <w:p w14:paraId="7F94908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新目录复检重新读取材料并确认当前对象通过。这个结果支持“保留上游业务组件的窄适配可行”，不支持任意项目接入、通用自主修复或优于固定规则的结论；一个外部组件的七项条件不增加八例统计分母。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331F3C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1AA7045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条件组</w:t>
            </w:r>
          </w:p>
        </w:tc>
        <w:tc>
          <w:tcPr>
            <w:tcW w:w="3798" w:type="dxa"/>
            <w:vAlign w:val="center"/>
          </w:tcPr>
          <w:p w14:paraId="60D0C30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实际检查</w:t>
            </w:r>
          </w:p>
        </w:tc>
        <w:tc>
          <w:tcPr>
            <w:tcW w:w="2891" w:type="dxa"/>
            <w:vAlign w:val="center"/>
          </w:tcPr>
          <w:p w14:paraId="378D599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原件 / 最终候选</w:t>
            </w:r>
          </w:p>
        </w:tc>
      </w:tr>
      <w:tr w14:paraId="57394B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1506EE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bare-token、no-section-password、section-bare-token</w:t>
            </w:r>
          </w:p>
        </w:tc>
        <w:tc>
          <w:tcPr>
            <w:tcW w:w="3798" w:type="dxa"/>
            <w:vAlign w:val="center"/>
          </w:tcPr>
          <w:p w14:paraId="5DD0F86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三种格式错误不得在 stdout、stderr、logging 暴露值；仍返回配置领域错误</w:t>
            </w:r>
          </w:p>
        </w:tc>
        <w:tc>
          <w:tcPr>
            <w:tcW w:w="2891" w:type="dxa"/>
            <w:vAlign w:val="center"/>
          </w:tcPr>
          <w:p w14:paraId="13F6957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 项 FAIL / 3 项 PASS</w:t>
            </w:r>
          </w:p>
        </w:tc>
      </w:tr>
      <w:tr w14:paraId="7127BF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9DC4AE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valid-pypi、valid-custom</w:t>
            </w:r>
          </w:p>
        </w:tc>
        <w:tc>
          <w:tcPr>
            <w:tcW w:w="3798" w:type="dxa"/>
            <w:vAlign w:val="center"/>
          </w:tcPr>
          <w:p w14:paraId="20BC6B5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仓库 URL、用户和内部凭据原值保持，禁止输出通道无泄露</w:t>
            </w:r>
          </w:p>
        </w:tc>
        <w:tc>
          <w:tcPr>
            <w:tcW w:w="2891" w:type="dxa"/>
            <w:vAlign w:val="center"/>
          </w:tcPr>
          <w:p w14:paraId="2C78C79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 项 PASS / 2 项 PASS</w:t>
            </w:r>
          </w:p>
        </w:tc>
      </w:tr>
      <w:tr w14:paraId="7AF607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62166D8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missing-repository、missing-file</w:t>
            </w:r>
          </w:p>
        </w:tc>
        <w:tc>
          <w:tcPr>
            <w:tcW w:w="3798" w:type="dxa"/>
            <w:vAlign w:val="center"/>
          </w:tcPr>
          <w:p w14:paraId="0301109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缺仓库与缺文件保留原有领域错误行为，禁止通道无泄露</w:t>
            </w:r>
          </w:p>
        </w:tc>
        <w:tc>
          <w:tcPr>
            <w:tcW w:w="2891" w:type="dxa"/>
            <w:vAlign w:val="center"/>
          </w:tcPr>
          <w:p w14:paraId="40647546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 项 PASS / 2 项 PASS</w:t>
            </w:r>
          </w:p>
        </w:tc>
      </w:tr>
    </w:tbl>
    <w:p w14:paraId="6EB97702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4F99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4 当前对象的实际复检记录 不调用模型</w:t>
      </w:r>
    </w:p>
    <w:p w14:paraId="70183B4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3.8 分层交付与演示</w:t>
      </w:r>
    </w:p>
    <w:p w14:paraId="2DB43C8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查看作品入口仅需普通 Python，读取真实回放，不检查或启动模型；重新验收入口需要既有隔离设施但不调用模型；现场修复入口才需要完整本地推理环境。缺少隔离不降级到宿主执行。三种入口共享当前作品界面，现场失败不会由历史成功结果替换。</w:t>
      </w:r>
    </w:p>
    <w:p w14:paraId="0AC7B4F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preliminary.4 在同机新源码目录、新 Python 环境中验证启动、历史查看、实际复检与导出，并生成约三分钟及一分钟字幕实录剪辑。前三例明确标为历史回放，复检段包含新的程序执行及对象摘要。同机验证复用了已准备的 WSL 隔离 runtime，不作为跨机器部署验证。本版 preliminary.5 仅重构价值表达和证据索引，沿用该实录并标注版本，没有新模型实验或新真人结果。</w:t>
      </w:r>
    </w:p>
    <w:p w14:paraId="3BDBAF95">
      <w:pPr>
        <w:pStyle w:val="2"/>
        <w:keepNext/>
        <w:spacing w:before="160" w:after="100" w:line="360" w:lineRule="auto"/>
        <w:ind w:firstLine="0"/>
        <w:jc w:val="center"/>
      </w:pPr>
      <w:bookmarkStart w:id="4" w:name="_Toc13869"/>
      <w:r>
        <w:rPr>
          <w:rFonts w:ascii="黑体" w:hAnsi="黑体" w:eastAsia="黑体" w:cs="黑体"/>
          <w:b/>
          <w:color w:val="000000"/>
          <w:sz w:val="32"/>
        </w:rPr>
        <w:t>第四章 创新性说明</w:t>
      </w:r>
      <w:bookmarkEnd w:id="4"/>
    </w:p>
    <w:p w14:paraId="0416157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证据驱动的候选生成与反馈调整</w:t>
      </w:r>
    </w:p>
    <w:p w14:paraId="452A200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具体困难是：一次性补丁可能只改表面文本，无法说明真实值是否消失。密证的设计是让固定程序先执行已登记触发，把脱敏观察和失败回执交给模型；模型可以在预算内调整候选，程序再次检查。h03 的候选1仍输出真实值，回执进入后续请求后候选2改为固定安全错误信息并通过；h01 则展示参数日志这一固定启发式遗漏的有限增量。</w:t>
      </w:r>
    </w:p>
    <w:p w14:paraId="4489288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项目实现的是受控工具协议、反馈记录和候选状态，不是新的模型训练或通用修复算法。相比一次性模型修复，它多了一次基于当前执行结果的候选调整路径；相比本项目固定启发式，它允许在已登记结构内利用代码语义提出不同候选。两种基线都可能在部分案例中成功，本轮没有证明普遍优势。</w:t>
      </w:r>
    </w:p>
    <w:p w14:paraId="7745893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程序控制的修改权限与安全/业务验收</w:t>
      </w:r>
    </w:p>
    <w:p w14:paraId="75A4F61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模型建议不能自行获得写入和“通过”权限，安全修复也不能通过删除业务行为换取绿色结果。密证让执行侧固定当前副本、可信需求、允许修改范围、禁止输出通道和必要业务检查。只有有效泄露证据授权修改，候选通过协议和边界检查后，才进入隔离执行；裁判同时检查泄露是否消除、认证调用、成功响应、拒绝、异常和修改边界。</w:t>
      </w:r>
    </w:p>
    <w:p w14:paraId="7E7FEEC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中模型有疑点但没有实际泄露证据，原对象保持不变；Twine 前两候选在执行前因越界被拒，第三候选才进入七项检查。这些证据说明程序实施了权限与联合验收，不说明模型没有误报，也不把普通状态控制或隔离技术称为首创。</w:t>
      </w:r>
    </w:p>
    <w:p w14:paraId="430B176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对应修复对象的材料导出与复检</w:t>
      </w:r>
    </w:p>
    <w:p w14:paraId="10BFFF9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具体困难是：保存一个 PASS 字段不能保证它仍对应当前代码、规则和检查条件。密证导出原件、当前候选、需求、规则、轨迹和绑定信息；复检重新读取这些材料并执行必要检查，分别报告旧报告适用性、历史材料完整性和当前结果。对象变化时不复用旧缓存结论，材料缺失会显式显示而不伪装成“证据齐全”。</w:t>
      </w:r>
    </w:p>
    <w:p w14:paraId="17FF2C5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相关实现位于 agent_pilot/web.py 的材料绑定和 agent_pilot/bundle.py 的复检逻辑。对象变化定向回归、h01/h03/h07 材料和 Twine 新目录复检共同支持这一交付主张。普通哈希只能检测相对清单的变化，不是第三方认证或不可伪造证明。规范 CI 同样可以实现固定检查和版本绑定；密证把它们与候选反馈、修改门槛和可移交复检材料组织为面向开发者的操作流程。此前官方资料核查确认扫描器已有暂存区扫描或凭据有效性等能力，本文未对成熟产品或其他修复 Agent 作效果排名[7]。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67D711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7779566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特点</w:t>
            </w:r>
          </w:p>
        </w:tc>
        <w:tc>
          <w:tcPr>
            <w:tcW w:w="3798" w:type="dxa"/>
            <w:vAlign w:val="center"/>
          </w:tcPr>
          <w:p w14:paraId="38D1504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关键代码</w:t>
            </w:r>
          </w:p>
        </w:tc>
        <w:tc>
          <w:tcPr>
            <w:tcW w:w="2891" w:type="dxa"/>
            <w:vAlign w:val="center"/>
          </w:tcPr>
          <w:p w14:paraId="5C5171E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主要依据</w:t>
            </w:r>
          </w:p>
        </w:tc>
      </w:tr>
      <w:tr w14:paraId="4A928B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4F13E83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证据反馈</w:t>
            </w:r>
          </w:p>
        </w:tc>
        <w:tc>
          <w:tcPr>
            <w:tcW w:w="3798" w:type="dxa"/>
            <w:vAlign w:val="center"/>
          </w:tcPr>
          <w:p w14:paraId="6FA3196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reliability.GovernedSession、model_client.LocalAgentClient</w:t>
            </w:r>
          </w:p>
        </w:tc>
        <w:tc>
          <w:tcPr>
            <w:tcW w:w="2891" w:type="dxa"/>
            <w:vAlign w:val="center"/>
          </w:tcPr>
          <w:p w14:paraId="1A13E08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h01 有限候选增量；h03 真实反馈调整</w:t>
            </w:r>
          </w:p>
        </w:tc>
      </w:tr>
      <w:tr w14:paraId="565C1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14A0251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程序控制验收</w:t>
            </w:r>
          </w:p>
        </w:tc>
        <w:tc>
          <w:tcPr>
            <w:tcW w:w="3798" w:type="dxa"/>
            <w:vAlign w:val="center"/>
          </w:tcPr>
          <w:p w14:paraId="3C038103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judge.judge_trial、isolation.run_isolated、external_twine.boundary</w:t>
            </w:r>
          </w:p>
        </w:tc>
        <w:tc>
          <w:tcPr>
            <w:tcW w:w="2891" w:type="dxa"/>
            <w:vAlign w:val="center"/>
          </w:tcPr>
          <w:p w14:paraId="6349E5F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h07 正常保留；Twine 越界候选被拒</w:t>
            </w:r>
          </w:p>
        </w:tc>
      </w:tr>
      <w:tr w14:paraId="3BF56C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68B6B037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对象材料复检</w:t>
            </w:r>
          </w:p>
        </w:tc>
        <w:tc>
          <w:tcPr>
            <w:tcW w:w="3798" w:type="dxa"/>
            <w:vAlign w:val="center"/>
          </w:tcPr>
          <w:p w14:paraId="1283A97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web._require_current_material、bundle.recheck_bundle</w:t>
            </w:r>
          </w:p>
        </w:tc>
        <w:tc>
          <w:tcPr>
            <w:tcW w:w="2891" w:type="dxa"/>
            <w:vAlign w:val="center"/>
          </w:tcPr>
          <w:p w14:paraId="4FDABE0B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对象变化回归；当前对象的新复检</w:t>
            </w:r>
          </w:p>
        </w:tc>
      </w:tr>
    </w:tbl>
    <w:p w14:paraId="78F5D2BC">
      <w:pPr>
        <w:pStyle w:val="2"/>
        <w:keepNext/>
        <w:spacing w:before="160" w:after="100" w:line="360" w:lineRule="auto"/>
        <w:ind w:firstLine="0"/>
        <w:jc w:val="center"/>
      </w:pPr>
      <w:bookmarkStart w:id="5" w:name="_Toc31933"/>
      <w:r>
        <w:rPr>
          <w:rFonts w:ascii="黑体" w:hAnsi="黑体" w:eastAsia="黑体" w:cs="黑体"/>
          <w:b/>
          <w:color w:val="000000"/>
          <w:sz w:val="32"/>
        </w:rPr>
        <w:t>第五章 总结</w:t>
      </w:r>
      <w:bookmarkEnd w:id="5"/>
    </w:p>
    <w:p w14:paraId="5B1B8BE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已经形成“观察证据—候选生成—受控修改—安全与业务验收—材料复检”的可运行原型。它不是把所有安全工作交给模型，而是让模型在明确边界内处理代码理解和候选生成，让固定程序保留证据、权限和判定。完整同轮测试展示了四个问题例的合格修复、正常代码保留及一次真实失败反馈调整；任务完成指标同时揭示了工具协议仍需改进。Twine 外部接入说明了一条窄组件适配路径，未被写成泛化成绩。</w:t>
      </w:r>
    </w:p>
    <w:p w14:paraId="07A4165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对使用者的直接交付是：一份有实际执行依据的候选补丁、对应的安全与业务检查、以及可以由下一位开发者重新验收的材料。人工时间节省、企业部署收益、跨机器适配和任意代码库泛化尚未测量。本轮另准备了供 2—3 位未参与开发者执行的探索性体验包，但尚无真人结果，不把待执行材料写成用户研究结论。</w:t>
      </w:r>
    </w:p>
    <w:p w14:paraId="0C9BA63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后续优先提升协议稳定性和授权组件覆盖，邀请不同作者构造新案例，并把新评估与已知回归分开统计。</w:t>
      </w:r>
    </w:p>
    <w:p w14:paraId="439D2B5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来源与 AI 参与披露</w:t>
      </w:r>
    </w:p>
    <w:p w14:paraId="2402FF9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公开模型、框架、推理服务和隔离基础设施按来源引用；本项目实现受限工具、授权与完成控制、裁判及案例、实验组织、材料复检和展示组件。ChatGPT/Codex 实质参与方案、主要代码生成与修改、调试、试验组织、结果核对和文稿准备。队伍实际成员贡献与身份字段待填；AI 辅助范围、独立研究要求及参赛资格由队伍向导师/组委会确认。本报告不替代队伍签署的原创性声明。</w:t>
      </w:r>
    </w:p>
    <w:p w14:paraId="21EE8D1E">
      <w:pPr>
        <w:pStyle w:val="2"/>
        <w:keepNext/>
        <w:spacing w:before="160" w:after="100" w:line="360" w:lineRule="auto"/>
        <w:ind w:firstLine="0"/>
        <w:jc w:val="center"/>
      </w:pPr>
      <w:bookmarkStart w:id="6" w:name="_Toc15871"/>
      <w:r>
        <w:rPr>
          <w:rFonts w:ascii="黑体" w:hAnsi="黑体" w:eastAsia="黑体" w:cs="黑体"/>
          <w:b/>
          <w:color w:val="000000"/>
          <w:sz w:val="32"/>
        </w:rPr>
        <w:t>参考文献</w:t>
      </w:r>
      <w:bookmarkEnd w:id="6"/>
    </w:p>
    <w:p w14:paraId="32FA816A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[1] Qwen Team. Qwen-Agent 官方项目[EB/OL]. https://github.com/QwenLM/Qwen-Agent. 本项目使用 0.0.34，实际依赖锁与来源清单随材料提供。</w:t>
      </w:r>
    </w:p>
    <w:p w14:paraId="0E5CD477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[2] Qwen Team. Qwen3-Coder 官方项目[EB/OL]. https://github.com/QwenLM/Qwen3-Coder. 本项目使用 Ollama 分发的 qwen3-coder:30b Q4_K_M，不开展训练。</w:t>
      </w:r>
    </w:p>
    <w:p w14:paraId="4A993846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[3] Ollama. Ollama 官方项目[EB/OL]. https://github.com/ollama/ollama. 本轮推理版本 0.34.4。</w:t>
      </w:r>
    </w:p>
    <w:p w14:paraId="76A4E2F3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[4] 本项目. 冻结八案例完整运行记录[DS]. 2026-09-29. results.json；冻结文件摘要；源码快照；分层事实审计。</w:t>
      </w:r>
    </w:p>
    <w:p w14:paraId="2D4A084D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[5] 本项目. h03 原始候选与反馈记录[DS]. 2026-09-29. 首候选；第二候选；失败进入下一请求。</w:t>
      </w:r>
    </w:p>
    <w:p w14:paraId="173E7D87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[6] PyPA Twine. bugfix utils catch configparser Error. PR #1240, merged 2025-04-11. https://github.com/pypa/twine/pull/1240. 固定来源、许可证、原组件和完整单次运行记录随候选材料提供。</w:t>
      </w:r>
    </w:p>
    <w:p w14:paraId="106D6F38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[7] 本项目. 官方资料与原论文核查记录[EB/OL]. 2026-09-29. docs/preliminary/01_related_work_and_template.md，含 Gitleaks、TruffleHog、GitHub Secret Scanning 官方来源以及修复验证、in-toto 原论文。该历史核查未作为竞品效果实验。</w:t>
      </w:r>
    </w:p>
    <w:sectPr>
      <w:footerReference r:id="rId10" w:type="default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708BBB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separate"/>
    </w:r>
    <w:r>
      <w:rPr>
        <w:rStyle w:val="8"/>
      </w:rPr>
      <w:t>1</w:t>
    </w:r>
    <w:r>
      <w:rPr>
        <w:rStyle w:val="8"/>
      </w:rPr>
      <w:fldChar w:fldCharType="end"/>
    </w:r>
  </w:p>
  <w:p w14:paraId="08DF9D37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3DA3D3">
    <w:pPr>
      <w:pStyle w:val="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CABD42">
    <w:pPr>
      <w:widowControl/>
      <w:spacing w:before="0" w:after="60" w:line="360" w:lineRule="auto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15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BD9334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80ADA3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34871393"/>
    <w:rsid w:val="44691F23"/>
    <w:rsid w:val="528E70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jc w:val="both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after="0" w:line="360" w:lineRule="auto"/>
    </w:pPr>
    <w:rPr>
      <w:rFonts w:ascii="宋体" w:hAnsi="宋体" w:eastAsia="宋体" w:cs="宋体"/>
      <w:color w:val="000000"/>
      <w:sz w:val="24"/>
    </w:rPr>
  </w:style>
  <w:style w:type="character" w:styleId="8">
    <w:name w:val="page number"/>
    <w:basedOn w:val="7"/>
    <w:qFormat/>
    <w:uiPriority w:val="0"/>
  </w:style>
  <w:style w:type="character" w:styleId="9">
    <w:name w:val="Hyperlink"/>
    <w:qFormat/>
    <w:uiPriority w:val="99"/>
    <w:rPr>
      <w:color w:val="000066"/>
      <w:u w:val="none"/>
    </w:rPr>
  </w:style>
  <w:style w:type="paragraph" w:customStyle="1" w:styleId="10">
    <w:name w:val="Title"/>
    <w:qFormat/>
    <w:uiPriority w:val="0"/>
    <w:rPr>
      <w:rFonts w:ascii="黑体" w:hAnsi="黑体" w:eastAsia="宋体" w:cs="Times New Roman"/>
      <w:color w:val="000000"/>
      <w:sz w:val="52"/>
    </w:rPr>
  </w:style>
  <w:style w:type="paragraph" w:customStyle="1" w:styleId="11">
    <w:name w:val="heading 2"/>
    <w:basedOn w:val="1"/>
    <w:qFormat/>
    <w:uiPriority w:val="0"/>
    <w:pPr>
      <w:outlineLvl w:val="1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0</TotalTime>
  <ScaleCrop>false</ScaleCrop>
  <LinksUpToDate>false</LinksUpToDate>
  <CharactersWithSpaces>0</CharactersWithSpaces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2023-05-19T13:50:00Z</dcterms:created>
  <cp:keywords>运行时凭据 本地智能体 受控修复</cp:keywords>
  <dcterms:modified xsi:type="dcterms:W3CDTF">2026-10-05T14:51:17Z</dcterms:modified>
  <dc:subject>中国研究生网络安全创新大赛 创意作品赛</dc:subject>
  <dc:title>密证 CredProof——面向 AI 工具的凭据泄露验证与受控修复系统</dc:title>
</cp:coreProperties>
</file>