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3535">
      <w:pPr>
        <w:rPr>
          <w:rFonts w:ascii="黑体" w:hAnsi="宋体" w:eastAsia="黑体"/>
          <w:sz w:val="32"/>
          <w:szCs w:val="32"/>
        </w:rPr>
      </w:pPr>
      <w:bookmarkStart w:id="7" w:name="_GoBack"/>
      <w:bookmarkEnd w:id="7"/>
    </w:p>
    <w:p w14:paraId="6BDC4975">
      <w:pPr>
        <w:rPr>
          <w:rFonts w:ascii="黑体" w:hAnsi="宋体" w:eastAsia="黑体"/>
          <w:sz w:val="32"/>
          <w:szCs w:val="32"/>
        </w:rPr>
      </w:pPr>
    </w:p>
    <w:p w14:paraId="23FEF924">
      <w:pPr>
        <w:rPr>
          <w:rFonts w:ascii="黑体" w:hAnsi="宋体" w:eastAsia="黑体"/>
          <w:sz w:val="32"/>
          <w:szCs w:val="32"/>
        </w:rPr>
      </w:pPr>
    </w:p>
    <w:p w14:paraId="1622796D">
      <w:pPr>
        <w:jc w:val="center"/>
        <w:rPr>
          <w:rFonts w:ascii="黑体" w:hAnsi="宋体" w:eastAsia="黑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中国研究生网络安全创新大赛</w:t>
      </w:r>
    </w:p>
    <w:p w14:paraId="029D1215">
      <w:pPr>
        <w:pStyle w:val="10"/>
        <w:jc w:val="center"/>
        <w:rPr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作品报告</w:t>
      </w:r>
    </w:p>
    <w:p w14:paraId="176C54A8">
      <w:pPr>
        <w:spacing w:line="360" w:lineRule="auto"/>
        <w:rPr>
          <w:rFonts w:ascii="宋体" w:hAnsi="宋体"/>
          <w:sz w:val="24"/>
        </w:rPr>
      </w:pPr>
    </w:p>
    <w:p w14:paraId="1EABAC47">
      <w:pPr>
        <w:spacing w:line="360" w:lineRule="auto"/>
        <w:rPr>
          <w:rFonts w:ascii="宋体" w:hAnsi="宋体"/>
          <w:sz w:val="24"/>
        </w:rPr>
      </w:pPr>
    </w:p>
    <w:p w14:paraId="1B6DE80E">
      <w:pPr>
        <w:spacing w:line="360" w:lineRule="auto"/>
        <w:rPr>
          <w:rFonts w:ascii="宋体" w:hAnsi="宋体"/>
          <w:sz w:val="24"/>
        </w:rPr>
      </w:pPr>
    </w:p>
    <w:p w14:paraId="3457EA26">
      <w:pPr>
        <w:spacing w:line="360" w:lineRule="auto"/>
        <w:rPr>
          <w:rFonts w:ascii="宋体" w:hAnsi="宋体"/>
          <w:sz w:val="24"/>
        </w:rPr>
      </w:pPr>
    </w:p>
    <w:p w14:paraId="1884F1B1">
      <w:pPr>
        <w:spacing w:line="360" w:lineRule="auto"/>
        <w:rPr>
          <w:rFonts w:ascii="宋体" w:hAnsi="宋体"/>
          <w:sz w:val="24"/>
        </w:rPr>
      </w:pPr>
    </w:p>
    <w:p w14:paraId="39212841">
      <w:pPr>
        <w:spacing w:line="360" w:lineRule="auto"/>
        <w:rPr>
          <w:rFonts w:ascii="宋体" w:hAnsi="宋体"/>
          <w:sz w:val="24"/>
        </w:rPr>
      </w:pPr>
    </w:p>
    <w:p w14:paraId="149290C9">
      <w:pPr>
        <w:spacing w:line="360" w:lineRule="auto"/>
        <w:rPr>
          <w:rFonts w:ascii="宋体" w:hAnsi="宋体"/>
          <w:sz w:val="24"/>
        </w:rPr>
      </w:pPr>
    </w:p>
    <w:p w14:paraId="26B7B458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ascii="黑体" w:hAnsi="黑体" w:eastAsia="黑体" w:cs="黑体"/>
          <w:b/>
          <w:color w:val="000000"/>
          <w:sz w:val="32"/>
        </w:rPr>
        <w:t>作品名称：密证 CredProof——</w:t>
      </w:r>
      <w:r>
        <w:rPr>
          <w:rFonts w:ascii="黑体" w:hAnsi="黑体" w:eastAsia="黑体" w:cs="黑体"/>
          <w:b/>
          <w:color w:val="000000"/>
          <w:sz w:val="32"/>
        </w:rPr>
        <w:br w:type="textWrapping"/>
      </w:r>
      <w:r>
        <w:rPr>
          <w:rFonts w:ascii="黑体" w:hAnsi="黑体" w:eastAsia="黑体" w:cs="黑体"/>
          <w:b/>
          <w:color w:val="000000"/>
          <w:sz w:val="32"/>
        </w:rPr>
        <w:t>面向Python工具的AI辅助安全修复与证据验收工作台</w:t>
      </w:r>
    </w:p>
    <w:p w14:paraId="6DF2252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</w:pPr>
    </w:p>
    <w:p w14:paraId="2ED60A13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ascii="黑体" w:hAnsi="黑体" w:eastAsia="黑体" w:cs="黑体"/>
          <w:b/>
          <w:color w:val="000000"/>
          <w:sz w:val="32"/>
        </w:rPr>
        <w:t>提交日期：待填</w:t>
      </w:r>
    </w:p>
    <w:p w14:paraId="7D5E9BC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46EDB65C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填写说明</w:t>
      </w:r>
    </w:p>
    <w:p w14:paraId="7806A973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 xml:space="preserve">1. </w:t>
      </w:r>
      <w:r>
        <w:rPr>
          <w:rFonts w:ascii="宋体" w:hAnsi="宋体" w:eastAsia="宋体" w:cs="宋体"/>
          <w:bCs/>
          <w:color w:val="000000"/>
          <w:sz w:val="24"/>
        </w:rPr>
        <w:t>所有参赛</w:t>
      </w:r>
      <w:r>
        <w:rPr>
          <w:rFonts w:hint="eastAsia" w:ascii="宋体" w:hAnsi="宋体" w:eastAsia="宋体" w:cs="宋体"/>
          <w:bCs/>
          <w:color w:val="000000"/>
          <w:sz w:val="24"/>
        </w:rPr>
        <w:t>项目</w:t>
      </w:r>
      <w:r>
        <w:rPr>
          <w:rFonts w:ascii="宋体" w:hAnsi="宋体" w:eastAsia="宋体" w:cs="宋体"/>
          <w:bCs/>
          <w:color w:val="000000"/>
          <w:sz w:val="24"/>
        </w:rPr>
        <w:t>必须为一个基本完整的设计。</w:t>
      </w:r>
      <w:r>
        <w:rPr>
          <w:rFonts w:hint="eastAsia" w:ascii="宋体" w:hAnsi="宋体" w:eastAsia="宋体" w:cs="宋体"/>
          <w:bCs/>
          <w:color w:val="000000"/>
          <w:sz w:val="24"/>
        </w:rPr>
        <w:t>作品报告书旨在能够清晰准确地阐述（或图示）该参赛队的参赛项目（或</w:t>
      </w:r>
      <w:r>
        <w:rPr>
          <w:rFonts w:ascii="宋体" w:hAnsi="宋体" w:eastAsia="宋体" w:cs="宋体"/>
          <w:bCs/>
          <w:color w:val="000000"/>
          <w:sz w:val="24"/>
        </w:rPr>
        <w:t>方案</w:t>
      </w:r>
      <w:r>
        <w:rPr>
          <w:rFonts w:hint="eastAsia" w:ascii="宋体" w:hAnsi="宋体" w:eastAsia="宋体" w:cs="宋体"/>
          <w:bCs/>
          <w:color w:val="000000"/>
          <w:sz w:val="24"/>
        </w:rPr>
        <w:t>）。</w:t>
      </w:r>
    </w:p>
    <w:p w14:paraId="17CA4891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2. 作品报告采用A4纸撰写。除标题外，所有内容必需为宋体、小四号字、1.5倍行距。</w:t>
      </w:r>
    </w:p>
    <w:p w14:paraId="5554264B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3. 作品报告中各项目说明文字部分仅供参考，作品报告书撰写完毕后，请删除所有说明文字。(本页不删除)</w:t>
      </w:r>
    </w:p>
    <w:p w14:paraId="100A6FD6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4. 作品报告模板里已经列的内容仅供参考，作者可以在此基础上增加内容或对文档结构进行微调。</w:t>
      </w:r>
    </w:p>
    <w:p w14:paraId="465B4706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5. 为保证网评的公平、公正，作品报告中应避免出现作者所在学校、院系和指导教师等泄露身份的信息。一经发现，取消作品参赛资格。</w:t>
      </w:r>
    </w:p>
    <w:p w14:paraId="07531CC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F03CC4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4D10CE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7B631D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8E5376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215D7FC3">
      <w:pPr>
        <w:spacing w:after="20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目录</w:t>
      </w:r>
    </w:p>
    <w:p w14:paraId="72B8E0FE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  <w:sz w:val="24"/>
        </w:rPr>
        <w:fldChar w:fldCharType="begin"/>
      </w:r>
      <w:r>
        <w:rPr>
          <w:rFonts w:ascii="宋体" w:hAnsi="宋体" w:eastAsia="宋体" w:cs="宋体"/>
          <w:color w:val="000000"/>
          <w:sz w:val="24"/>
        </w:rPr>
        <w:instrText xml:space="preserve"> TOC \o "1-1" \h \z \u </w:instrText>
      </w:r>
      <w:r>
        <w:rPr>
          <w:rFonts w:ascii="宋体" w:hAnsi="宋体" w:eastAsia="宋体" w:cs="宋体"/>
          <w:color w:val="000000"/>
          <w:sz w:val="24"/>
        </w:rPr>
        <w:fldChar w:fldCharType="separate"/>
      </w: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_Toc8185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摘要</w:t>
      </w:r>
      <w:r>
        <w:tab/>
      </w:r>
      <w:r>
        <w:fldChar w:fldCharType="begin"/>
      </w:r>
      <w:r>
        <w:instrText xml:space="preserve"> PAGEREF _Toc8185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2156BD2F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_Toc12006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第一章 作品概述</w:t>
      </w:r>
      <w:r>
        <w:tab/>
      </w:r>
      <w:r>
        <w:fldChar w:fldCharType="begin"/>
      </w:r>
      <w:r>
        <w:instrText xml:space="preserve"> PAGEREF _Toc12006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3D1C76B8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_Toc29684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第二章 作品设计与实现</w:t>
      </w:r>
      <w:r>
        <w:tab/>
      </w:r>
      <w:r>
        <w:fldChar w:fldCharType="begin"/>
      </w:r>
      <w:r>
        <w:instrText xml:space="preserve"> PAGEREF _Toc29684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631B9FED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_Toc16702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第三章 作品测试与分析</w:t>
      </w:r>
      <w:r>
        <w:tab/>
      </w:r>
      <w:r>
        <w:fldChar w:fldCharType="begin"/>
      </w:r>
      <w:r>
        <w:instrText xml:space="preserve"> PAGEREF _Toc16702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79BC66AF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_Toc28208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第四章 贡献与创新说明</w:t>
      </w:r>
      <w:r>
        <w:tab/>
      </w:r>
      <w:r>
        <w:fldChar w:fldCharType="begin"/>
      </w:r>
      <w:r>
        <w:instrText xml:space="preserve"> PAGEREF _Toc28208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409EEFCD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_Toc10837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第五章 总结</w:t>
      </w:r>
      <w:r>
        <w:tab/>
      </w:r>
      <w:r>
        <w:fldChar w:fldCharType="begin"/>
      </w:r>
      <w:r>
        <w:instrText xml:space="preserve"> PAGEREF _Toc10837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0543F8C5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_Toc26790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参考文献</w:t>
      </w:r>
      <w:r>
        <w:tab/>
      </w:r>
      <w:r>
        <w:fldChar w:fldCharType="begin"/>
      </w:r>
      <w:r>
        <w:instrText xml:space="preserve"> PAGEREF _Toc26790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2B22D165">
      <w:pPr>
        <w:widowControl/>
        <w:spacing w:before="0" w:after="60" w:line="360" w:lineRule="auto"/>
        <w:ind w:firstLine="0"/>
      </w:pPr>
      <w:r>
        <w:rPr>
          <w:rFonts w:ascii="宋体" w:hAnsi="宋体" w:eastAsia="宋体" w:cs="宋体"/>
          <w:color w:val="000000"/>
        </w:rPr>
        <w:fldChar w:fldCharType="end"/>
      </w:r>
    </w:p>
    <w:p w14:paraId="1F7758C0">
      <w:pPr>
        <w:pStyle w:val="2"/>
        <w:keepNext/>
        <w:spacing w:before="160" w:after="100" w:line="360" w:lineRule="auto"/>
        <w:ind w:firstLine="0"/>
        <w:jc w:val="center"/>
      </w:pPr>
      <w:bookmarkStart w:id="0" w:name="_Toc8185"/>
      <w:r>
        <w:rPr>
          <w:rFonts w:ascii="黑体" w:hAnsi="黑体" w:eastAsia="黑体" w:cs="黑体"/>
          <w:b/>
          <w:color w:val="000000"/>
          <w:sz w:val="32"/>
        </w:rPr>
        <w:t>摘要</w:t>
      </w:r>
      <w:bookmarkEnd w:id="0"/>
    </w:p>
    <w:p w14:paraId="0ACDDDD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密证 CredProof 服务于维护自有或获授权Python工具的开发者与安全人员，将安全检查、AI候选、开发者修订、程序验收和人工采纳串联为可操作流程。工具业务正常并不意味着凭据没有输出、文件没有越界、请求没有到达禁止服务。系统在隔离副本中执行必要业务测试和独立安全场景，固定访问组件提供受约束的真实文件读取与服务认证；本地模型只提出建议，开发者可查看差异并修订，技术结论由程序计算。通过检查的版本仍待人工审阅，过期或缺材料的报告不能被采纳，原仓库不会自动应用修改。本次真实综合验证中，历史AI候选保持FAIL，开发者修订保留真实业务并取得原完整验收PASS，随后以对应材料在新目录重新检查。所有历史模型失败保留；本轮不调用模型，不将人工修订算作自动修复效果。交付包含具体修订、规则、依赖、报告和可再次运行的检查。</w:t>
      </w:r>
    </w:p>
    <w:p w14:paraId="412366FF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关键词：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Python工具；AI辅助修复；独立验收；人工采纳；材料复检</w:t>
      </w:r>
    </w:p>
    <w:p w14:paraId="1BF528C6">
      <w:r>
        <w:br w:type="page"/>
      </w:r>
    </w:p>
    <w:p w14:paraId="0779028F">
      <w:pPr>
        <w:pStyle w:val="2"/>
        <w:keepNext/>
        <w:spacing w:before="160" w:after="100" w:line="360" w:lineRule="auto"/>
        <w:ind w:firstLine="0"/>
        <w:jc w:val="center"/>
      </w:pPr>
      <w:bookmarkStart w:id="1" w:name="_Toc12006"/>
      <w:r>
        <w:rPr>
          <w:rFonts w:ascii="黑体" w:hAnsi="黑体" w:eastAsia="黑体" w:cs="黑体"/>
          <w:b/>
          <w:color w:val="000000"/>
          <w:sz w:val="32"/>
        </w:rPr>
        <w:t>第一章 作品概述</w:t>
      </w:r>
      <w:bookmarkEnd w:id="1"/>
    </w:p>
    <w:p w14:paraId="3EE5AAD4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1.1 作品价值</w:t>
      </w:r>
    </w:p>
    <w:p w14:paraId="409BBCF6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本作品服务于维护授权 Python/AI 工具的开发者和安全人员。使用时刻是：工具已经出现疑似泄露，需要回答“秘密通过了哪条输出路径、补丁是否真的切断、业务是否仍能工作、交付给别人时依据是否还能复查”。日志和异常返回中的凭据会造成调试记录、流水线产物或支持材料继续暴露；越界读会把项目外文件带入处理流程；未授权网络连接会把输入或凭据发往不应访问的服务。三类问题都不能只看源代码中的字面字符串。</w:t>
      </w:r>
    </w:p>
    <w:p w14:paraId="35E5E86B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使用者仍需提供授权范围、入口、允许目录和服务、凭据变量名、必要业务测试及禁止输出通道。系统代做的是受控触发、观察、候选补丁提交、固定验收和材料导出；规则适配与最终取舍仍由人负责。系统不访问真实账户，不自动撤销外部凭据，不对任意上传项目执行代码。</w:t>
      </w:r>
    </w:p>
    <w:p w14:paraId="224602E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记忆点是：</w:t>
      </w:r>
      <w:r>
        <w:rPr>
          <w:rFonts w:ascii="宋体" w:hAnsi="宋体" w:eastAsia="宋体" w:cs="宋体"/>
          <w:b/>
          <w:color w:val="000000"/>
          <w:sz w:val="24"/>
        </w:rPr>
        <w:t>让 AI 提出修复，让程序决定是否接受，让开发者能够复查。</w:t>
      </w:r>
    </w:p>
    <w:p w14:paraId="7E4D13B7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1.2 三个作品特点</w:t>
      </w:r>
    </w:p>
    <w:p w14:paraId="21C3DE5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证据反馈进入修复过程。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受控执行先产生脱敏观察；候选不合格时，失败事实可以进入下一次请求。h03 中第一份“脱敏”代码仍把秘密放在消息后缀，程序找到真实反例后，第二份候选改为固定安全文本并通过。</w:t>
      </w:r>
    </w:p>
    <w:p w14:paraId="5CF80FF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修改权限和验收由程序实施。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模型不能改需求、测试、隔离边界或直接写入原工作区。安全检查与必要业务检查同时执行，正常案例没有当前泄露证据时不因模型怀疑而自动修改。</w:t>
      </w:r>
    </w:p>
    <w:p w14:paraId="54F32612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结果和对象一起交付。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当前副本、规则、时间、报告和复检材料绑定在一起。导出后改变对象会使旧结论不再适用；复检会重新读取材料并执行必要检查，而不是只展示保存的 PASS。</w:t>
      </w:r>
    </w:p>
    <w:p w14:paraId="73D60408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1.3 应用范围与来源归属</w:t>
      </w:r>
    </w:p>
    <w:p w14:paraId="00D62E30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初赛候选支持已登记的受控 Python 工具场景。固定执行器、观察器、验收器、项目接入、材料导出和界面由本项目实现；Qwen-Agent、Ollama、本地Qwen编码模型（历史qwen3-coder:30b，当前配置qwen2.5-coder:32b-instruct-q4_K_M）、pytest、WSL/bubblewrap 及 python-dotenv/Twine 上游代码按各自许可证和来源归属。模型只提出候选；当前component_assisted由程序安排读取和验收，历史工具循环另列，模型不是裁判。当前记录来自合成凭据、授权模拟服务和隔离副本；它们证明受控方法可运行，不等于企业部署效果或通用漏洞覆盖。</w:t>
      </w:r>
    </w:p>
    <w:p w14:paraId="07B70F18">
      <w:pPr>
        <w:pStyle w:val="2"/>
        <w:keepNext/>
        <w:spacing w:before="160" w:after="100" w:line="360" w:lineRule="auto"/>
        <w:ind w:firstLine="0"/>
        <w:jc w:val="center"/>
      </w:pPr>
      <w:bookmarkStart w:id="2" w:name="_Toc29684"/>
      <w:r>
        <w:rPr>
          <w:rFonts w:ascii="黑体" w:hAnsi="黑体" w:eastAsia="黑体" w:cs="黑体"/>
          <w:b/>
          <w:color w:val="000000"/>
          <w:sz w:val="32"/>
        </w:rPr>
        <w:t>第二章 作品设计与实现</w:t>
      </w:r>
      <w:bookmarkEnd w:id="2"/>
    </w:p>
    <w:p w14:paraId="17E197D3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2.1 系统组成与数据流程</w:t>
      </w:r>
    </w:p>
    <w:p w14:paraId="4FDBD7D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开发者通过credproof.toml确认入口、允许修改范围、凭据变量、允许目录、服务及必要测试。ProjectWorkspace登记项目，check_project在既有WSL/bubblewrap边界中检查三类风险和真实业务。AI入口保留bounded_patch/component_assisted建议能力；本轮使用已保存响应，清楚标识历史回放。ReviewWorkspace管理AI候选、开发者新修订和相邻差异，调用同一check_project，独立追加本地人工决策。流程为：检查发现问题→AI提出候选→程序验收→开发者审阅/修订→新对象重新验收→人工决定采纳→导出与持续复检。</w:t>
      </w:r>
    </w:p>
    <w:p w14:paraId="39625475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2.2 从疑点到固定判决</w:t>
      </w:r>
    </w:p>
    <w:p w14:paraId="5558EC8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完整顺序如下：人工先确定授权和必要条件；固定程序在受控副本中执行入口与测试并产生脱敏证据；模型只接收允许代码和证据并生成候选数据，开发者可以在新副本中修订；执行器检查路径、参数、修改范围和预算；固定验收器重新运行安全、业务和边界检查；只有全部必要条件满足才 PASS，必要材料不足为 UNKNOWN，明确反例为 FAIL。</w:t>
      </w:r>
    </w:p>
    <w:p w14:paraId="3FDC734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模型分析可以解释疑点；当前项目判决由credproof_safety.project.check_project计算，人审与项目复检分别由human_review和project_bundle管理，旧历史bundle接口另行保留。普通哈希只说明相对清单发生了变化，不是第三方认证、不可伪造证明或绝对安全。</w:t>
      </w:r>
    </w:p>
    <w:p w14:paraId="33222D19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2.3 三类观察与业务检查</w:t>
      </w:r>
    </w:p>
    <w:p w14:paraId="3AAC477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不泄密检查匹配合成凭据是否进入 真实入口返回对象、stdout、stderr、日志或异常回执；合法向授权模拟服务提交凭据不自动算泄露。不乱读检查区分访问尝试、被拦截和有依据的成功访问。不乱连检查记录允许服务的回执、路径和禁止服务是否收到请求。业务条件检查入口返回、必要 pytest 的收集/执行/通过状态和必要异常行为。缺失或旧对象报告不得显示当前通过；包装器为防止递归产生的内部 skip 与真实必要业务测试分开统计。</w:t>
      </w:r>
    </w:p>
    <w:p w14:paraId="04D86EE7">
      <w:pPr>
        <w:keepNext/>
        <w:widowControl/>
        <w:spacing w:before="0" w:after="60" w:line="360" w:lineRule="auto"/>
        <w:ind w:firstLine="0"/>
        <w:jc w:val="center"/>
      </w:pPr>
      <w:r>
        <w:drawing>
          <wp:inline distT="0" distB="0" distL="114300" distR="114300">
            <wp:extent cx="5471795" cy="5763895"/>
            <wp:effectExtent l="0" t="0" r="146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76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845">
      <w:pPr>
        <w:widowControl/>
        <w:spacing w:before="0" w:after="60" w:line="36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 1 技术检查通过仍待本人采纳：已安装工作台真实记录</w:t>
      </w:r>
    </w:p>
    <w:p w14:paraId="6089F80D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2.4 候选、复检与交付</w:t>
      </w:r>
    </w:p>
    <w:p w14:paraId="6384A9A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浏览器只能对已登记候选提交完整授权入口源码，不能指定任意路径或修改测试、配置、组件、检查器。每次修订保存新版本、父版本、来源、摘要和理由，不覆盖原AI输出。程序判决PASS/FAIL/UNKNOWN与人工PENDING/NEEDS_CHANGES/REJECTED/APPROVED分开；PASS不会自动采纳。确认采纳和已采纳导出由后端复核当前对象、原基线、配置、必要测试、依赖和报告；错误版本、过期页面或材料变化会拒绝。重新验收不恢复旧批准。FAIL/UNKNOWN可以导出标明状态的诊断包，已验证且已采纳修复包须当前PASS及有效批准。采纳是本机记录，不是强身份签名；开发者自行应用副本，原项目与index保持只读。</w:t>
      </w:r>
    </w:p>
    <w:p w14:paraId="7D071160">
      <w:pPr>
        <w:pStyle w:val="2"/>
        <w:keepNext/>
        <w:spacing w:before="160" w:after="100" w:line="360" w:lineRule="auto"/>
        <w:ind w:firstLine="0"/>
        <w:jc w:val="center"/>
      </w:pPr>
      <w:bookmarkStart w:id="3" w:name="_Toc16702"/>
      <w:r>
        <w:rPr>
          <w:rFonts w:ascii="黑体" w:hAnsi="黑体" w:eastAsia="黑体" w:cs="黑体"/>
          <w:b/>
          <w:color w:val="000000"/>
          <w:sz w:val="32"/>
        </w:rPr>
        <w:t>第三章 作品测试与分析</w:t>
      </w:r>
      <w:bookmarkEnd w:id="3"/>
    </w:p>
    <w:p w14:paraId="49444964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3.1 测试口径</w:t>
      </w:r>
    </w:p>
    <w:p w14:paraId="2D6D840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以下结果来自已保存批次，不重新拼接不同轮次。资料助手项目区和 python-dotenv 外部组件是本候选的当前无模型接入证据；历史八例和 Twine 是早期 Agent 依据，单独列出。软件测试项数不是漏洞数量，外部一个场景也不是泛化率。</w:t>
      </w:r>
    </w:p>
    <w:p w14:paraId="2336A99A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3.2 资料助手项目区与导出复检</w:t>
      </w:r>
    </w:p>
    <w:p w14:paraId="0429731B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本次综合验证使用dev35已安装工作台及既有资料助手任务，新增运行时模型调用0。来源完整的历史AI候选缺少os导入，并把组件HTTPError错误转换为ValueError；原FAIL保留。开发者通过页面提交新修订，来源为“开发者修订，Codex辅助”：恢复os导入，直接使用固定read_text/get_json，保留异常约定和真实业务，不返回或记录凭据。原完整检查实际PASS：4项必要业务测试全部执行通过、0跳过，正常返回及允许文件＋越界跳转两个独立场景完成，真实文件读取和允许服务认证保留。正式对象保持技术PASS、人工PENDING。</w:t>
      </w:r>
    </w:p>
    <w:p w14:paraId="0291B7D5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审批功能测试使用专用副本和测试身份，覆盖FAIL不可采纳、PASS可拒绝、合法采纳及导出、过期/错误版本拒绝。代码、策略、组件或必要材料变化后旧结论及批准失效，不污染正式对象。导出同一修订、组件和规则，按固定Git字节取件后在5090新目录进行无模型完整复检。既有导出消费者另外执行固定版、再引入缺陷和无关变化三个对照，结果单列，不计模型效果。原始报告及命令见当前人审评审入口。</w:t>
      </w:r>
    </w:p>
    <w:p w14:paraId="0BBC1188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3.3 python-dotenv 外部组件</w:t>
      </w:r>
    </w:p>
    <w:p w14:paraId="55B6BC0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来源为 python-dotenv v1.2.2，固定提交 36004e0e34be7665ff2b11a8a4005144f76f176d，BSD-3-Clause。原始上游代码、114 项上游测试和 3 项适配测试保留在一次性副本中；缺陷是本项目人工注入的目录越界读，不是上游漏洞、CVE 或官方修复。适配流程不调用模型，采用人工预置修复并再次引入缺陷对照。</w:t>
      </w:r>
    </w:p>
    <w:p w14:paraId="2D3389A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初始注入版为 116 项通过、1 项失败，pytest 退出 1；不能把它写成业务测试全通过。修复版为 117 项业务测试通过，安全检查 PASS；在同一业务测试仍为 117 项通过时重新引入目录越界和凭据输出，pytest 退出 0，但固定安全检查为 FAIL。这个反例说明“业务绿”不能替代安全观察。无关修改保持 PASS。对应原始记录见 experiments/reusable-tool-safety/20261004-external-dotenv-observer-v2/summary.json 与 20261005-pytest-case-fix-v1/external-dotenv-summary.json。</w:t>
      </w:r>
    </w:p>
    <w:p w14:paraId="17463BB5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3.4 h01 有限修复增量</w:t>
      </w:r>
    </w:p>
    <w:p w14:paraId="3B8FD9E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h01 中凭据经环境变量进入辅助函数参数再进入日志；本项目固定启发式没有覆盖该实参到形参的关系和链式 logger 调用。C 候选把日志值改为脱敏文本，同时保留认证所需真实实参，十三项固定条件通过。结论只针对本项目启发式和该结构，不能推导成熟数据流工具或所有扫描器存在同样缺陷。</w:t>
      </w:r>
    </w:p>
    <w:p w14:paraId="75DCA0B2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3.5 h03 真实反馈调整</w:t>
      </w:r>
    </w:p>
    <w:p w14:paraId="0800FBA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h03 的第一份候选把 credential= 前缀改成 [REDACTED]，但真实值仍出现在消息后缀；程序的两个日志反例使它 FAIL。失败证据进入后续请求，第二份候选保留操作信息，把 details 改为固定安全文本，十三项条件 PASS。第一候选、第二候选和验证记录全部保留。这是一个反馈过程实例，不是对所有任务的优势证明。</w:t>
      </w:r>
    </w:p>
    <w:p w14:paraId="238E70F1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3.6 h07 正常保持与完整历史批次</w:t>
      </w:r>
    </w:p>
    <w:p w14:paraId="667D1C82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h07 的授权认证用途和脱敏输出没有形成当前泄露证据，系统保持原代码。它说明“模型怀疑”“程序确认”“是否允许修改”是三个不同状态，不等于模型从未误报。冻结八例完整记录中，A/B/C 问题样例合格修复为 3/4、1/4、4/4，最终对象通过为 7/8、5/8、8/8，完整任务为 7/8、4/8、6/8；未完成和失败不从统计中删除。该批次是自建合成模板留出，不是独立盲测。</w:t>
      </w:r>
    </w:p>
    <w:p w14:paraId="38F2965B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3.7 Twine 历史外部依据</w:t>
      </w:r>
    </w:p>
    <w:p w14:paraId="2B96953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Twine 公开版本的配置解析错误曾令 traceback 携带敏感行进入 stderr。该单次外部任务固定源码和公开修复依据，模型提出三份候选：两份在执行前因格式/修改边界被拒，第三份通过七项受控条件。它是历史 Agent 依据，不是当前任意项目自动修复成功、上游采纳或企业部署证明；官方升级仍是实际使用者应优先考虑的处理方式。</w:t>
      </w:r>
    </w:p>
    <w:p w14:paraId="5D1CA9A2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3.8 结果解释与适用边界</w:t>
      </w:r>
    </w:p>
    <w:p w14:paraId="0F43603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当前证据支持的结论是：在已适配、隔离、合成 Python 场景中，安全观察、必要业务检查、对象绑定和复检可以共同阻止“业务测试全通过但仍泄露”的误读，并把候选修改变成可复查材料。模型的作用是提出和调整候选，固定程序负责执行、权限和判决。未测量人工节省时间、总体准确率、跨机器部署或生产影响；既有模型控制器/Ollama白名单与私有网络边界证据保留，本轮不进行新推理或宣称扩大模型效果；更多语言与系统调用需后续适配。</w:t>
      </w:r>
    </w:p>
    <w:p w14:paraId="3517C0AA">
      <w:pPr>
        <w:pStyle w:val="2"/>
        <w:keepNext/>
        <w:spacing w:before="160" w:after="100" w:line="360" w:lineRule="auto"/>
        <w:ind w:firstLine="0"/>
        <w:jc w:val="center"/>
      </w:pPr>
      <w:bookmarkStart w:id="4" w:name="_Toc28208"/>
      <w:r>
        <w:rPr>
          <w:rFonts w:ascii="黑体" w:hAnsi="黑体" w:eastAsia="黑体" w:cs="黑体"/>
          <w:b/>
          <w:color w:val="000000"/>
          <w:sz w:val="32"/>
        </w:rPr>
        <w:t>第四章 贡献与创新说明</w:t>
      </w:r>
      <w:bookmarkEnd w:id="4"/>
    </w:p>
    <w:p w14:paraId="53B7B8A7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4.1 证据反馈驱动的候选生成</w:t>
      </w:r>
    </w:p>
    <w:p w14:paraId="7D029E9C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困难是一次性补丁可能只隐藏标签而保留秘密。项目实现 agent_pilot/reliability.py 的受限工具会话，将脱敏失败回执提供给后续候选；h03 的两份候选和真实日志反例给出具体依据。它相对一次性生成多做的是“在当前副本上根据新证据再提出候选”，不是新模型算法，也不声称普遍优于固定程序。</w:t>
      </w:r>
    </w:p>
    <w:p w14:paraId="692A032F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4.2 程序实施的修改授权和联合验收</w:t>
      </w:r>
    </w:p>
    <w:p w14:paraId="06B5114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本项目实现了入口范围约束、独立安全/业务检查、版本对应和人审状态控制。开发者修订也必须经过同样检查，人工决定不能覆盖技术FAIL或UNKNOWN。无模型服务仍可查看和修订；缺隔离则阻断动态执行。有效人审记录绑定原基线、当前副本、配置、测试、组件及报告，决策追加保存。这是受约束工程方法与可操作工作流，不将pytest、审批或普通哈希单独称为新算法。</w:t>
      </w:r>
    </w:p>
    <w:p w14:paraId="3896ED1A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4.3 对应对象的材料导出和重新验收</w:t>
      </w:r>
    </w:p>
    <w:p w14:paraId="438A350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困难是报告可能对应旧副本，或历史轨迹缺失却仍被当作完整证据。当前项目由credproof_safety/project_bundle.py和human_review.py核对候选、配置、必要测试、依赖和引用报告；旧agent_pilot/bundle.py服务历史接口。导出消费者固定、缺陷、无关三个副本的 0/1/0 退出结果与三份报告可复查。普通哈希和材料完整性提示不构成第三方认证。</w:t>
      </w:r>
    </w:p>
    <w:p w14:paraId="0410D7A3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4.4 角色边界与归属</w:t>
      </w:r>
    </w:p>
    <w:p w14:paraId="0C150B3F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人工确定授权和必要条件；固定程序生成初始证据、限制工具和修改、运行隔离并作 verdict；本地模型生成候选；开发者查看差异并修订，程序重新验收，人决定采纳且不自动应用原仓库。Qwen-Agent、Ollama、pytest、WSL/bubblewrap 及上游组件不是本项目原创。AI 辅助开发范围和参赛原创声明仍由参赛者、指导教师和组委会按实际规则确认。</w:t>
      </w:r>
    </w:p>
    <w:p w14:paraId="0F7B37BC">
      <w:pPr>
        <w:pStyle w:val="2"/>
        <w:keepNext/>
        <w:spacing w:before="160" w:after="100" w:line="360" w:lineRule="auto"/>
        <w:ind w:firstLine="0"/>
        <w:jc w:val="center"/>
      </w:pPr>
      <w:bookmarkStart w:id="5" w:name="_Toc10837"/>
      <w:r>
        <w:rPr>
          <w:rFonts w:ascii="黑体" w:hAnsi="黑体" w:eastAsia="黑体" w:cs="黑体"/>
          <w:b/>
          <w:color w:val="000000"/>
          <w:sz w:val="32"/>
        </w:rPr>
        <w:t>第五章 总结</w:t>
      </w:r>
      <w:bookmarkEnd w:id="5"/>
    </w:p>
    <w:p w14:paraId="42A961B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CredProof 把“可能泄露”推进到“在当前对象上能否接受这份修复，并且别人能否复查依据”。资料助手、python-dotenv 受控接入、h01/h03/h07 和历史 Twine 共同展示问题、动作、证据和边界。作品当前应作为已适配 Python 工具的防御性验证与受控修复原型使用；后续扩展到更多语言、更多系统调用和真实部署前，仍需新的适配、隔离和独立参与者体验。</w:t>
      </w:r>
    </w:p>
    <w:p w14:paraId="76113AAF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来源与 AI 参与披露</w:t>
      </w:r>
    </w:p>
    <w:p w14:paraId="29831C6F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公开组件和模型按许可证与来源归属列于 docs/local-agent/reliability/source-attribution.md 及本仓库来源索引。ChatGPT/Codex 对方案、主要代码、调试、实验组织和文稿有实质辅助；本文件不代签原创或 AI 使用声明，队伍需自行向指导教师和组委会确认。</w:t>
      </w:r>
    </w:p>
    <w:p w14:paraId="7A872F68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本轮范围调整与待本人确认</w:t>
      </w:r>
    </w:p>
    <w:p w14:paraId="2B1B9F6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用户已批准AI辅助修复＋程序独立验收＋人工采纳。原“本地模型独自修复PASS”登记OWNER_APPROVED_SCOPE_CHANGE，自动效果仍未完成，移出当前必需范围。所有UNKNOWN/FAIL和原任务统计保持不变。正式修订待本人真实审阅，自动化审批只证明功能可用。队伍身份、最终文件命名、声明签署及赛事AI辅助开发许可仍由本人/指导教师确认；不代签、不宣称已获许可。</w:t>
      </w:r>
    </w:p>
    <w:p w14:paraId="2D13588B">
      <w:pPr>
        <w:pStyle w:val="2"/>
        <w:keepNext/>
        <w:spacing w:before="160" w:after="100" w:line="360" w:lineRule="auto"/>
        <w:ind w:firstLine="0"/>
        <w:jc w:val="center"/>
      </w:pPr>
      <w:bookmarkStart w:id="6" w:name="_Toc26790"/>
      <w:r>
        <w:rPr>
          <w:rFonts w:ascii="黑体" w:hAnsi="黑体" w:eastAsia="黑体" w:cs="黑体"/>
          <w:b/>
          <w:color w:val="000000"/>
          <w:sz w:val="32"/>
        </w:rPr>
        <w:t>参考文献</w:t>
      </w:r>
      <w:bookmarkEnd w:id="6"/>
    </w:p>
    <w:p w14:paraId="1362D5C6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1. Qwen-Agent、Ollama、pytest 及 WSL/bubblewrap 官方文档，版本和下载核验见仓库来源记录。</w:t>
      </w:r>
    </w:p>
    <w:p w14:paraId="1C0C8CB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2. python-dotenv v1.2.2，提交 36004e0e34be7665ff2b11a8a4005144f76f176d，BSD-3-Clause；本项目注入版仅用于受控安全验证。</w:t>
      </w:r>
    </w:p>
    <w:p w14:paraId="7B3A542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3. Twine 公开修复依据与本项目固定复现实验，见 docs/external-scenario/twine/。</w:t>
      </w:r>
    </w:p>
    <w:p w14:paraId="2C074A2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4. experiments/local-agent-pilot/reliability/20260929t095000z-holdout8/comparison/，历史八例完整记录。</w:t>
      </w:r>
    </w:p>
    <w:sectPr>
      <w:footerReference r:id="rId10" w:type="default"/>
      <w:pgSz w:w="11906" w:h="16838"/>
      <w:pgMar w:top="1440" w:right="1466" w:bottom="1440" w:left="162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7AD8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8196A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  <w:p w14:paraId="08DF9D3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6F54A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039F9">
    <w:pPr>
      <w:widowControl/>
      <w:spacing w:before="0" w:after="60" w:line="360" w:lineRule="auto"/>
      <w:ind w:firstLine="0"/>
      <w:jc w:val="center"/>
    </w:pPr>
    <w:r>
      <w:rPr>
        <w:rFonts w:ascii="宋体" w:hAnsi="宋体" w:eastAsia="宋体" w:cs="宋体"/>
        <w:b w:val="0"/>
        <w:color w:val="000000"/>
        <w:sz w:val="24"/>
      </w:rPr>
      <w:t xml:space="preserve">第 </w:t>
    </w:r>
    <w:r>
      <w:rPr>
        <w:rFonts w:ascii="宋体" w:hAnsi="宋体" w:eastAsia="宋体" w:cs="宋体"/>
        <w:color w:val="000000"/>
        <w:sz w:val="24"/>
      </w:rPr>
      <w:fldChar w:fldCharType="begin"/>
    </w:r>
    <w:r>
      <w:rPr>
        <w:rFonts w:ascii="宋体" w:hAnsi="宋体" w:eastAsia="宋体" w:cs="宋体"/>
        <w:color w:val="000000"/>
        <w:sz w:val="24"/>
      </w:rPr>
      <w:instrText xml:space="preserve"> PAGE </w:instrText>
    </w:r>
    <w:r>
      <w:rPr>
        <w:rFonts w:ascii="宋体" w:hAnsi="宋体" w:eastAsia="宋体" w:cs="宋体"/>
        <w:color w:val="000000"/>
        <w:sz w:val="24"/>
      </w:rPr>
      <w:fldChar w:fldCharType="separate"/>
    </w:r>
    <w:r>
      <w:rPr>
        <w:rFonts w:ascii="宋体" w:hAnsi="宋体" w:eastAsia="宋体" w:cs="宋体"/>
        <w:color w:val="000000"/>
        <w:sz w:val="24"/>
      </w:rPr>
      <w:t>3</w:t>
    </w:r>
    <w:r>
      <w:rPr>
        <w:rFonts w:ascii="宋体" w:hAnsi="宋体" w:eastAsia="宋体" w:cs="宋体"/>
        <w:color w:val="000000"/>
        <w:sz w:val="24"/>
      </w:rPr>
      <w:fldChar w:fldCharType="end"/>
    </w:r>
    <w:r>
      <w:rPr>
        <w:rFonts w:ascii="宋体" w:hAnsi="宋体" w:eastAsia="宋体" w:cs="宋体"/>
        <w:b w:val="0"/>
        <w:color w:val="000000"/>
        <w:sz w:val="24"/>
      </w:rPr>
      <w:t xml:space="preserve"> 页 共 </w:t>
    </w:r>
    <w:r>
      <w:rPr>
        <w:rFonts w:ascii="宋体" w:hAnsi="宋体" w:eastAsia="宋体" w:cs="宋体"/>
        <w:color w:val="000000"/>
        <w:sz w:val="24"/>
      </w:rPr>
      <w:fldChar w:fldCharType="begin"/>
    </w:r>
    <w:r>
      <w:rPr>
        <w:rFonts w:ascii="宋体" w:hAnsi="宋体" w:eastAsia="宋体" w:cs="宋体"/>
        <w:color w:val="000000"/>
        <w:sz w:val="24"/>
      </w:rPr>
      <w:instrText xml:space="preserve"> NUMPAGES </w:instrText>
    </w:r>
    <w:r>
      <w:rPr>
        <w:rFonts w:ascii="宋体" w:hAnsi="宋体" w:eastAsia="宋体" w:cs="宋体"/>
        <w:color w:val="000000"/>
        <w:sz w:val="24"/>
      </w:rPr>
      <w:fldChar w:fldCharType="separate"/>
    </w:r>
    <w:r>
      <w:rPr>
        <w:rFonts w:ascii="宋体" w:hAnsi="宋体" w:eastAsia="宋体" w:cs="宋体"/>
        <w:color w:val="000000"/>
        <w:sz w:val="24"/>
      </w:rPr>
      <w:t>11</w:t>
    </w:r>
    <w:r>
      <w:rPr>
        <w:rFonts w:ascii="宋体" w:hAnsi="宋体" w:eastAsia="宋体" w:cs="宋体"/>
        <w:color w:val="000000"/>
        <w:sz w:val="24"/>
      </w:rPr>
      <w:fldChar w:fldCharType="end"/>
    </w:r>
    <w:r>
      <w:rPr>
        <w:rFonts w:ascii="宋体" w:hAnsi="宋体" w:eastAsia="宋体" w:cs="宋体"/>
        <w:b w:val="0"/>
        <w:color w:val="000000"/>
        <w:sz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F93D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B273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NlYTNjYzhkOWI3ZTcwMWJiOTE2ZjU4NjBhNGZhZjQifQ=="/>
  </w:docVars>
  <w:rsids>
    <w:rsidRoot w:val="00000000"/>
    <w:rsid w:val="34871393"/>
    <w:rsid w:val="528E7085"/>
    <w:rsid w:val="6CDA16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jc w:val="both"/>
    </w:pPr>
    <w:rPr>
      <w:rFonts w:ascii="宋体" w:hAnsi="宋体" w:eastAsia="宋体" w:cs="宋体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39"/>
    <w:pPr>
      <w:spacing w:after="0" w:line="360" w:lineRule="auto"/>
    </w:pPr>
    <w:rPr>
      <w:rFonts w:ascii="宋体" w:hAnsi="宋体" w:eastAsia="宋体" w:cs="宋体"/>
      <w:color w:val="00000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99"/>
    <w:rPr>
      <w:color w:val="000066"/>
      <w:u w:val="none"/>
    </w:rPr>
  </w:style>
  <w:style w:type="paragraph" w:customStyle="1" w:styleId="10">
    <w:name w:val="Title"/>
    <w:uiPriority w:val="0"/>
    <w:rPr>
      <w:rFonts w:ascii="黑体" w:hAnsi="黑体" w:eastAsia="宋体" w:cs="Times New Roman"/>
      <w:color w:val="000000"/>
      <w:sz w:val="52"/>
    </w:rPr>
  </w:style>
  <w:style w:type="paragraph" w:customStyle="1" w:styleId="11">
    <w:name w:val="heading 2"/>
    <w:basedOn w:val="1"/>
    <w:qFormat/>
    <w:uiPriority w:val="0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2023-05-19T13:50:00Z</ns1:created>
  <dc:creator/>
  <ns0:keywords>运行时凭据 本地智能体 受控修复</ns0:keywords>
  <ns0:lastModifiedBy/>
  <ns1:modified xsi:type="dcterms:W3CDTF">2026-10-10T04:28:09Z</ns1:modified>
  <dc:subject>中国研究生网络安全创新大赛 创意作品赛</dc:subject>
  <dc:title>密证 CredProof——面向Python工具的AI辅助安全修复与证据验收工作台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2EBB9F5C0C2D4FAD979E1246603578CE_13</vt:lpwstr>
  </property>
</Properties>
</file>