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23535">
      <w:pPr>
        <w:rPr>
          <w:rFonts w:ascii="黑体" w:hAnsi="宋体" w:eastAsia="黑体"/>
          <w:sz w:val="32"/>
          <w:szCs w:val="32"/>
        </w:rPr>
      </w:pPr>
      <w:bookmarkStart w:id="7" w:name="_GoBack"/>
      <w:bookmarkEnd w:id="7"/>
    </w:p>
    <w:p w14:paraId="6BDC4975">
      <w:pPr>
        <w:rPr>
          <w:rFonts w:ascii="黑体" w:hAnsi="宋体" w:eastAsia="黑体"/>
          <w:sz w:val="32"/>
          <w:szCs w:val="32"/>
        </w:rPr>
      </w:pPr>
    </w:p>
    <w:p w14:paraId="23FEF924">
      <w:pPr>
        <w:rPr>
          <w:rFonts w:ascii="黑体" w:hAnsi="宋体" w:eastAsia="黑体"/>
          <w:sz w:val="32"/>
          <w:szCs w:val="32"/>
        </w:rPr>
      </w:pPr>
    </w:p>
    <w:p w14:paraId="1622796D">
      <w:pPr>
        <w:jc w:val="center"/>
        <w:rPr>
          <w:rFonts w:ascii="黑体" w:hAnsi="宋体" w:eastAsia="黑体"/>
          <w:b/>
          <w:sz w:val="52"/>
          <w:szCs w:val="52"/>
        </w:rPr>
      </w:pPr>
      <w:r>
        <w:rPr>
          <w:rFonts w:hint="eastAsia" w:ascii="黑体" w:hAnsi="宋体" w:eastAsia="黑体"/>
          <w:b/>
          <w:sz w:val="52"/>
          <w:szCs w:val="52"/>
        </w:rPr>
        <w:t>中国研究生网络安全创新大赛</w:t>
      </w:r>
    </w:p>
    <w:p w14:paraId="029D1215">
      <w:pPr>
        <w:jc w:val="center"/>
        <w:rPr>
          <w:b/>
          <w:sz w:val="52"/>
          <w:szCs w:val="52"/>
        </w:rPr>
      </w:pPr>
      <w:r>
        <w:rPr>
          <w:rFonts w:hint="eastAsia" w:ascii="黑体" w:hAnsi="宋体" w:eastAsia="黑体"/>
          <w:b/>
          <w:sz w:val="52"/>
          <w:szCs w:val="52"/>
        </w:rPr>
        <w:t>作品报告</w:t>
      </w:r>
    </w:p>
    <w:p w14:paraId="176C54A8">
      <w:pPr>
        <w:spacing w:line="360" w:lineRule="auto"/>
        <w:rPr>
          <w:rFonts w:ascii="宋体" w:hAnsi="宋体"/>
          <w:sz w:val="24"/>
        </w:rPr>
      </w:pPr>
    </w:p>
    <w:p w14:paraId="1EABAC47">
      <w:pPr>
        <w:spacing w:line="360" w:lineRule="auto"/>
        <w:rPr>
          <w:rFonts w:ascii="宋体" w:hAnsi="宋体"/>
          <w:sz w:val="24"/>
        </w:rPr>
      </w:pPr>
    </w:p>
    <w:p w14:paraId="1B6DE80E">
      <w:pPr>
        <w:spacing w:line="360" w:lineRule="auto"/>
        <w:rPr>
          <w:rFonts w:ascii="宋体" w:hAnsi="宋体"/>
          <w:sz w:val="24"/>
        </w:rPr>
      </w:pPr>
    </w:p>
    <w:p w14:paraId="3457EA26">
      <w:pPr>
        <w:spacing w:line="360" w:lineRule="auto"/>
        <w:rPr>
          <w:rFonts w:ascii="宋体" w:hAnsi="宋体"/>
          <w:sz w:val="24"/>
        </w:rPr>
      </w:pPr>
    </w:p>
    <w:p w14:paraId="1884F1B1">
      <w:pPr>
        <w:spacing w:line="360" w:lineRule="auto"/>
        <w:rPr>
          <w:rFonts w:ascii="宋体" w:hAnsi="宋体"/>
          <w:sz w:val="24"/>
        </w:rPr>
      </w:pPr>
    </w:p>
    <w:p w14:paraId="39212841">
      <w:pPr>
        <w:spacing w:line="360" w:lineRule="auto"/>
        <w:rPr>
          <w:rFonts w:ascii="宋体" w:hAnsi="宋体"/>
          <w:sz w:val="24"/>
        </w:rPr>
      </w:pPr>
    </w:p>
    <w:p w14:paraId="149290C9">
      <w:pPr>
        <w:spacing w:line="360" w:lineRule="auto"/>
        <w:rPr>
          <w:rFonts w:ascii="宋体" w:hAnsi="宋体"/>
          <w:sz w:val="24"/>
        </w:rPr>
      </w:pPr>
    </w:p>
    <w:p w14:paraId="26B7B458">
      <w:pPr>
        <w:spacing w:line="360" w:lineRule="auto"/>
        <w:rPr>
          <w:rFonts w:ascii="黑体" w:hAnsi="宋体" w:eastAsia="黑体"/>
          <w:b/>
          <w:sz w:val="32"/>
          <w:szCs w:val="32"/>
          <w:u w:val="single"/>
        </w:rPr>
      </w:pPr>
      <w:r>
        <w:rPr>
          <w:rFonts w:ascii="黑体" w:hAnsi="黑体" w:eastAsia="黑体" w:cs="黑体"/>
          <w:b/>
          <w:color w:val="000000"/>
          <w:sz w:val="32"/>
        </w:rPr>
        <w:t>作品名称：密证 CredProof——</w:t>
        <w:br/>
        <w:t>AI生成安全补丁的可信验收与人机协同修复平台</w:t>
      </w:r>
    </w:p>
    <w:p w14:paraId="6DF22529">
      <w:pPr>
        <w:autoSpaceDE w:val="0"/>
        <w:autoSpaceDN w:val="0"/>
        <w:adjustRightInd w:val="0"/>
        <w:spacing w:line="360" w:lineRule="auto"/>
        <w:rPr>
          <w:rFonts w:ascii="宋体" w:hAnsi="宋体" w:cs="DFKai-SB"/>
          <w:b/>
          <w:bCs/>
          <w:sz w:val="24"/>
        </w:rPr>
      </w:pPr>
    </w:p>
    <w:p w14:paraId="2ED60A13">
      <w:pPr>
        <w:spacing w:line="360" w:lineRule="auto"/>
        <w:rPr>
          <w:rFonts w:ascii="黑体" w:hAnsi="宋体" w:eastAsia="黑体"/>
          <w:b/>
          <w:sz w:val="32"/>
          <w:szCs w:val="32"/>
          <w:u w:val="single"/>
        </w:rPr>
      </w:pPr>
      <w:r>
        <w:rPr>
          <w:rFonts w:ascii="黑体" w:hAnsi="黑体" w:eastAsia="黑体" w:cs="黑体"/>
          <w:b/>
          <w:color w:val="000000"/>
          <w:sz w:val="32"/>
        </w:rPr>
        <w:t>提交日期：2026年10月</w:t>
      </w:r>
    </w:p>
    <w:p w14:paraId="7D5E9BC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/>
          <w:bCs/>
          <w:sz w:val="24"/>
        </w:rPr>
        <w:sectPr>
          <w:footerReference r:id="rId3" w:type="even"/>
          <w:pgSz w:w="11906" w:h="16838"/>
          <w:pgMar w:top="1440" w:right="1466" w:bottom="1440" w:left="1620" w:header="851" w:footer="992" w:gutter="0"/>
          <w:cols w:space="720" w:num="1"/>
          <w:docGrid w:type="lines" w:linePitch="312" w:charSpace="0"/>
        </w:sectPr>
      </w:pPr>
    </w:p>
    <w:p w14:paraId="46EDB65C">
      <w:pPr>
        <w:adjustRightInd w:val="0"/>
        <w:snapToGrid w:val="0"/>
        <w:spacing w:line="360" w:lineRule="auto"/>
        <w:jc w:val="center"/>
        <w:rPr>
          <w:rFonts w:ascii="黑体" w:eastAsia="黑体"/>
          <w:bCs/>
          <w:sz w:val="32"/>
          <w:szCs w:val="32"/>
        </w:rPr>
      </w:pPr>
      <w:r>
        <w:rPr>
          <w:rFonts w:hint="eastAsia" w:ascii="黑体" w:eastAsia="黑体"/>
          <w:bCs/>
          <w:sz w:val="32"/>
          <w:szCs w:val="32"/>
        </w:rPr>
        <w:t>填写说明</w:t>
      </w:r>
    </w:p>
    <w:p w14:paraId="7806A973">
      <w:pPr>
        <w:widowControl/>
        <w:autoSpaceDE w:val="0"/>
        <w:autoSpaceDN w:val="0"/>
        <w:adjustRightInd w:val="0"/>
        <w:spacing w:line="360" w:lineRule="auto" w:before="0" w:after="60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cs="宋体" w:eastAsia="宋体"/>
          <w:bCs/>
          <w:color w:val="000000"/>
          <w:sz w:val="24"/>
        </w:rPr>
        <w:t xml:space="preserve">1. </w:t>
      </w:r>
      <w:r>
        <w:rPr>
          <w:rFonts w:ascii="宋体" w:hAnsi="宋体" w:cs="宋体" w:eastAsia="宋体"/>
          <w:bCs/>
          <w:color w:val="000000"/>
          <w:sz w:val="24"/>
        </w:rPr>
        <w:t>所有参赛</w:t>
      </w:r>
      <w:r>
        <w:rPr>
          <w:rFonts w:hint="eastAsia" w:ascii="宋体" w:hAnsi="宋体" w:cs="宋体" w:eastAsia="宋体"/>
          <w:bCs/>
          <w:color w:val="000000"/>
          <w:sz w:val="24"/>
        </w:rPr>
        <w:t>项目</w:t>
      </w:r>
      <w:r>
        <w:rPr>
          <w:rFonts w:ascii="宋体" w:hAnsi="宋体" w:cs="宋体" w:eastAsia="宋体"/>
          <w:bCs/>
          <w:color w:val="000000"/>
          <w:sz w:val="24"/>
        </w:rPr>
        <w:t>必须为一个基本完整的设计。</w:t>
      </w:r>
      <w:r>
        <w:rPr>
          <w:rFonts w:hint="eastAsia" w:ascii="宋体" w:hAnsi="宋体" w:cs="宋体" w:eastAsia="宋体"/>
          <w:bCs/>
          <w:color w:val="000000"/>
          <w:sz w:val="24"/>
        </w:rPr>
        <w:t>作品报告书旨在能够清晰准确地阐述（或图示）该参赛队的参赛项目（或</w:t>
      </w:r>
      <w:r>
        <w:rPr>
          <w:rFonts w:ascii="宋体" w:hAnsi="宋体" w:cs="宋体" w:eastAsia="宋体"/>
          <w:bCs/>
          <w:color w:val="000000"/>
          <w:sz w:val="24"/>
        </w:rPr>
        <w:t>方案</w:t>
      </w:r>
      <w:r>
        <w:rPr>
          <w:rFonts w:hint="eastAsia" w:ascii="宋体" w:hAnsi="宋体" w:cs="宋体" w:eastAsia="宋体"/>
          <w:bCs/>
          <w:color w:val="000000"/>
          <w:sz w:val="24"/>
        </w:rPr>
        <w:t>）。</w:t>
      </w:r>
    </w:p>
    <w:p w14:paraId="17CA4891">
      <w:pPr>
        <w:widowControl/>
        <w:autoSpaceDE w:val="0"/>
        <w:autoSpaceDN w:val="0"/>
        <w:adjustRightInd w:val="0"/>
        <w:spacing w:line="360" w:lineRule="auto" w:before="0" w:after="60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cs="宋体" w:eastAsia="宋体"/>
          <w:bCs/>
          <w:color w:val="000000"/>
          <w:sz w:val="24"/>
        </w:rPr>
        <w:t>2. 作品报告采用A4纸撰写。除标题外，所有内容必需为宋体、小四号字、1.5倍行距。</w:t>
      </w:r>
    </w:p>
    <w:p w14:paraId="5554264B">
      <w:pPr>
        <w:widowControl/>
        <w:autoSpaceDE w:val="0"/>
        <w:autoSpaceDN w:val="0"/>
        <w:adjustRightInd w:val="0"/>
        <w:spacing w:line="360" w:lineRule="auto" w:before="0" w:after="60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cs="宋体" w:eastAsia="宋体"/>
          <w:bCs/>
          <w:color w:val="000000"/>
          <w:sz w:val="24"/>
        </w:rPr>
        <w:t>3. 作品报告中各项目说明文字部分仅供参考，作品报告书撰写完毕后，请删除所有说明文字。(本页不删除)</w:t>
      </w:r>
    </w:p>
    <w:p w14:paraId="100A6FD6">
      <w:pPr>
        <w:widowControl/>
        <w:autoSpaceDE w:val="0"/>
        <w:autoSpaceDN w:val="0"/>
        <w:adjustRightInd w:val="0"/>
        <w:spacing w:line="360" w:lineRule="auto" w:before="0" w:after="60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cs="宋体" w:eastAsia="宋体"/>
          <w:bCs/>
          <w:color w:val="000000"/>
          <w:sz w:val="24"/>
        </w:rPr>
        <w:t>4. 作品报告模板里已经列的内容仅供参考，作者可以在此基础上增加内容或对文档结构进行微调。</w:t>
      </w:r>
    </w:p>
    <w:p w14:paraId="465B4706">
      <w:pPr>
        <w:widowControl/>
        <w:autoSpaceDE w:val="0"/>
        <w:autoSpaceDN w:val="0"/>
        <w:adjustRightInd w:val="0"/>
        <w:spacing w:line="360" w:lineRule="auto" w:before="0" w:after="60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cs="宋体" w:eastAsia="宋体"/>
          <w:bCs/>
          <w:color w:val="000000"/>
          <w:sz w:val="24"/>
        </w:rPr>
        <w:t>5. 为保证网评的公平、公正，作品报告中应避免出现作者所在学校、院系和指导教师等泄露身份的信息。一经发现，取消作品参赛资格。</w:t>
      </w:r>
    </w:p>
    <w:p w14:paraId="07531CC5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2F03CC4D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4D10CE2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07B631D5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8E5376A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720" w:num="1"/>
          <w:docGrid w:type="lines" w:linePitch="312" w:charSpace="0"/>
        </w:sectPr>
      </w:pPr>
    </w:p>
    <w:p>
      <w:pPr>
        <w:jc w:val="center"/>
      </w:pPr>
      <w:r>
        <w:rPr>
          <w:rFonts w:ascii="黑体" w:hAnsi="黑体" w:eastAsia="黑体" w:cs="黑体"/>
          <w:b/>
          <w:color w:val="000000"/>
          <w:sz w:val="32"/>
        </w:rPr>
        <w:t>目录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0"/>
      </w:pPr>
      <w:r>
        <w:rPr>
          <w:rFonts w:ascii="宋体" w:hAnsi="宋体" w:eastAsia="宋体" w:cs="宋体"/>
          <w:b/>
          <w:color w:val="000000"/>
          <w:sz w:val="24"/>
        </w:rPr>
        <w:t>摘要</w:t>
      </w:r>
      <w:r>
        <w:rPr>
          <w:rFonts w:ascii="宋体" w:hAnsi="宋体" w:eastAsia="宋体" w:cs="宋体"/>
          <w:color w:val="000000"/>
          <w:sz w:val="24"/>
        </w:rPr>
        <w:tab/>
        <w:t>5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0"/>
      </w:pPr>
      <w:r>
        <w:rPr>
          <w:rFonts w:ascii="宋体" w:hAnsi="宋体" w:eastAsia="宋体" w:cs="宋体"/>
          <w:b/>
          <w:color w:val="000000"/>
          <w:sz w:val="24"/>
        </w:rPr>
        <w:t>第一章 作品概述</w:t>
      </w:r>
      <w:r>
        <w:rPr>
          <w:rFonts w:ascii="宋体" w:hAnsi="宋体" w:eastAsia="宋体" w:cs="宋体"/>
          <w:color w:val="000000"/>
          <w:sz w:val="24"/>
        </w:rPr>
        <w:tab/>
        <w:t>6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1.1 背景：AI在写补丁，谁来验收AI</w:t>
      </w:r>
      <w:r>
        <w:rPr>
          <w:rFonts w:ascii="宋体" w:hAnsi="宋体" w:eastAsia="宋体" w:cs="宋体"/>
          <w:color w:val="000000"/>
          <w:sz w:val="24"/>
        </w:rPr>
        <w:tab/>
        <w:t>6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1.2 痛点：三种“看起来修好了”</w:t>
      </w:r>
      <w:r>
        <w:rPr>
          <w:rFonts w:ascii="宋体" w:hAnsi="宋体" w:eastAsia="宋体" w:cs="宋体"/>
          <w:color w:val="000000"/>
          <w:sz w:val="24"/>
        </w:rPr>
        <w:tab/>
        <w:t>6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1.3 作品定位</w:t>
      </w:r>
      <w:r>
        <w:rPr>
          <w:rFonts w:ascii="宋体" w:hAnsi="宋体" w:eastAsia="宋体" w:cs="宋体"/>
          <w:color w:val="000000"/>
          <w:sz w:val="24"/>
        </w:rPr>
        <w:tab/>
        <w:t>7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1.4 目标用户与应用场景</w:t>
      </w:r>
      <w:r>
        <w:rPr>
          <w:rFonts w:ascii="宋体" w:hAnsi="宋体" w:eastAsia="宋体" w:cs="宋体"/>
          <w:color w:val="000000"/>
          <w:sz w:val="24"/>
        </w:rPr>
        <w:tab/>
        <w:t>7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1.5 核心功能</w:t>
      </w:r>
      <w:r>
        <w:rPr>
          <w:rFonts w:ascii="宋体" w:hAnsi="宋体" w:eastAsia="宋体" w:cs="宋体"/>
          <w:color w:val="000000"/>
          <w:sz w:val="24"/>
        </w:rPr>
        <w:tab/>
        <w:t>8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1.6 商业价值与推广路径</w:t>
      </w:r>
      <w:r>
        <w:rPr>
          <w:rFonts w:ascii="宋体" w:hAnsi="宋体" w:eastAsia="宋体" w:cs="宋体"/>
          <w:color w:val="000000"/>
          <w:sz w:val="24"/>
        </w:rPr>
        <w:tab/>
        <w:t>9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0"/>
      </w:pPr>
      <w:r>
        <w:rPr>
          <w:rFonts w:ascii="宋体" w:hAnsi="宋体" w:eastAsia="宋体" w:cs="宋体"/>
          <w:b/>
          <w:color w:val="000000"/>
          <w:sz w:val="24"/>
        </w:rPr>
        <w:t>第二章 作品设计与实现</w:t>
      </w:r>
      <w:r>
        <w:rPr>
          <w:rFonts w:ascii="宋体" w:hAnsi="宋体" w:eastAsia="宋体" w:cs="宋体"/>
          <w:color w:val="000000"/>
          <w:sz w:val="24"/>
        </w:rPr>
        <w:tab/>
        <w:t>11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2.1 总体架构</w:t>
      </w:r>
      <w:r>
        <w:rPr>
          <w:rFonts w:ascii="宋体" w:hAnsi="宋体" w:eastAsia="宋体" w:cs="宋体"/>
          <w:color w:val="000000"/>
          <w:sz w:val="24"/>
        </w:rPr>
        <w:tab/>
        <w:t>11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2.2 验收闸门工作流程</w:t>
      </w:r>
      <w:r>
        <w:rPr>
          <w:rFonts w:ascii="宋体" w:hAnsi="宋体" w:eastAsia="宋体" w:cs="宋体"/>
          <w:color w:val="000000"/>
          <w:sz w:val="24"/>
        </w:rPr>
        <w:tab/>
        <w:t>12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2.3 关键技术一：双向证据判定</w:t>
      </w:r>
      <w:r>
        <w:rPr>
          <w:rFonts w:ascii="宋体" w:hAnsi="宋体" w:eastAsia="宋体" w:cs="宋体"/>
          <w:color w:val="000000"/>
          <w:sz w:val="24"/>
        </w:rPr>
        <w:tab/>
        <w:t>13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2.4 关键技术二：行为级运行时观测</w:t>
      </w:r>
      <w:r>
        <w:rPr>
          <w:rFonts w:ascii="宋体" w:hAnsi="宋体" w:eastAsia="宋体" w:cs="宋体"/>
          <w:color w:val="000000"/>
          <w:sz w:val="24"/>
        </w:rPr>
        <w:tab/>
        <w:t>14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2.5 关键技术三：受控访问组件</w:t>
      </w:r>
      <w:r>
        <w:rPr>
          <w:rFonts w:ascii="宋体" w:hAnsi="宋体" w:eastAsia="宋体" w:cs="宋体"/>
          <w:color w:val="000000"/>
          <w:sz w:val="24"/>
        </w:rPr>
        <w:tab/>
        <w:t>14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2.6 关键技术四：结论与版本绑定的人机协同</w:t>
      </w:r>
      <w:r>
        <w:rPr>
          <w:rFonts w:ascii="宋体" w:hAnsi="宋体" w:eastAsia="宋体" w:cs="宋体"/>
          <w:color w:val="000000"/>
          <w:sz w:val="24"/>
        </w:rPr>
        <w:tab/>
        <w:t>14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2.7 接入与部署</w:t>
      </w:r>
      <w:r>
        <w:rPr>
          <w:rFonts w:ascii="宋体" w:hAnsi="宋体" w:eastAsia="宋体" w:cs="宋体"/>
          <w:color w:val="000000"/>
          <w:sz w:val="24"/>
        </w:rPr>
        <w:tab/>
        <w:t>15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0"/>
      </w:pPr>
      <w:r>
        <w:rPr>
          <w:rFonts w:ascii="宋体" w:hAnsi="宋体" w:eastAsia="宋体" w:cs="宋体"/>
          <w:b/>
          <w:color w:val="000000"/>
          <w:sz w:val="24"/>
        </w:rPr>
        <w:t>第三章 作品测试与分析</w:t>
      </w:r>
      <w:r>
        <w:rPr>
          <w:rFonts w:ascii="宋体" w:hAnsi="宋体" w:eastAsia="宋体" w:cs="宋体"/>
          <w:color w:val="000000"/>
          <w:sz w:val="24"/>
        </w:rPr>
        <w:tab/>
        <w:t>17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3.1 测试环境与样本</w:t>
      </w:r>
      <w:r>
        <w:rPr>
          <w:rFonts w:ascii="宋体" w:hAnsi="宋体" w:eastAsia="宋体" w:cs="宋体"/>
          <w:color w:val="000000"/>
          <w:sz w:val="24"/>
        </w:rPr>
        <w:tab/>
        <w:t>17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3.2 实验一：21份真实AI补丁的验收对比</w:t>
      </w:r>
      <w:r>
        <w:rPr>
          <w:rFonts w:ascii="宋体" w:hAnsi="宋体" w:eastAsia="宋体" w:cs="宋体"/>
          <w:color w:val="000000"/>
          <w:sz w:val="24"/>
        </w:rPr>
        <w:tab/>
        <w:t>17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3.3 实验二：开源项目python-dotenv——业务全绿不等于安全</w:t>
      </w:r>
      <w:r>
        <w:rPr>
          <w:rFonts w:ascii="宋体" w:hAnsi="宋体" w:eastAsia="宋体" w:cs="宋体"/>
          <w:color w:val="000000"/>
          <w:sz w:val="24"/>
        </w:rPr>
        <w:tab/>
        <w:t>20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3.4 实验三：人机协同修复闭环</w:t>
      </w:r>
      <w:r>
        <w:rPr>
          <w:rFonts w:ascii="宋体" w:hAnsi="宋体" w:eastAsia="宋体" w:cs="宋体"/>
          <w:color w:val="000000"/>
          <w:sz w:val="24"/>
        </w:rPr>
        <w:tab/>
        <w:t>20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3.5 实验四：失败反馈帮助AI改进</w:t>
      </w:r>
      <w:r>
        <w:rPr>
          <w:rFonts w:ascii="宋体" w:hAnsi="宋体" w:eastAsia="宋体" w:cs="宋体"/>
          <w:color w:val="000000"/>
          <w:sz w:val="24"/>
        </w:rPr>
        <w:tab/>
        <w:t>21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3.6 性能与开销</w:t>
      </w:r>
      <w:r>
        <w:rPr>
          <w:rFonts w:ascii="宋体" w:hAnsi="宋体" w:eastAsia="宋体" w:cs="宋体"/>
          <w:color w:val="000000"/>
          <w:sz w:val="24"/>
        </w:rPr>
        <w:tab/>
        <w:t>22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3.7 测试小结</w:t>
      </w:r>
      <w:r>
        <w:rPr>
          <w:rFonts w:ascii="宋体" w:hAnsi="宋体" w:eastAsia="宋体" w:cs="宋体"/>
          <w:color w:val="000000"/>
          <w:sz w:val="24"/>
        </w:rPr>
        <w:tab/>
        <w:t>22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0"/>
      </w:pPr>
      <w:r>
        <w:rPr>
          <w:rFonts w:ascii="宋体" w:hAnsi="宋体" w:eastAsia="宋体" w:cs="宋体"/>
          <w:b/>
          <w:color w:val="000000"/>
          <w:sz w:val="24"/>
        </w:rPr>
        <w:t>第四章 创新性说明</w:t>
      </w:r>
      <w:r>
        <w:rPr>
          <w:rFonts w:ascii="宋体" w:hAnsi="宋体" w:eastAsia="宋体" w:cs="宋体"/>
          <w:color w:val="000000"/>
          <w:sz w:val="24"/>
        </w:rPr>
        <w:tab/>
        <w:t>23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4.1 与现有方案的对比</w:t>
      </w:r>
      <w:r>
        <w:rPr>
          <w:rFonts w:ascii="宋体" w:hAnsi="宋体" w:eastAsia="宋体" w:cs="宋体"/>
          <w:color w:val="000000"/>
          <w:sz w:val="24"/>
        </w:rPr>
        <w:tab/>
        <w:t>23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4.2 创新点一：面向AI补丁的“双向证据”验收</w:t>
      </w:r>
      <w:r>
        <w:rPr>
          <w:rFonts w:ascii="宋体" w:hAnsi="宋体" w:eastAsia="宋体" w:cs="宋体"/>
          <w:color w:val="000000"/>
          <w:sz w:val="24"/>
        </w:rPr>
        <w:tab/>
        <w:t>23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4.3 创新点二：“AI提出、程序判定、人工采纳”的三权分离闭环</w:t>
      </w:r>
      <w:r>
        <w:rPr>
          <w:rFonts w:ascii="宋体" w:hAnsi="宋体" w:eastAsia="宋体" w:cs="宋体"/>
          <w:color w:val="000000"/>
          <w:sz w:val="24"/>
        </w:rPr>
        <w:tab/>
        <w:t>24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4.4 创新点三：结论与版本强绑定的可复检交付</w:t>
      </w:r>
      <w:r>
        <w:rPr>
          <w:rFonts w:ascii="宋体" w:hAnsi="宋体" w:eastAsia="宋体" w:cs="宋体"/>
          <w:color w:val="000000"/>
          <w:sz w:val="24"/>
        </w:rPr>
        <w:tab/>
        <w:t>24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4.5 创新点四：把安全写法沉淀为受控组件</w:t>
      </w:r>
      <w:r>
        <w:rPr>
          <w:rFonts w:ascii="宋体" w:hAnsi="宋体" w:eastAsia="宋体" w:cs="宋体"/>
          <w:color w:val="000000"/>
          <w:sz w:val="24"/>
        </w:rPr>
        <w:tab/>
        <w:t>24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0"/>
      </w:pPr>
      <w:r>
        <w:rPr>
          <w:rFonts w:ascii="宋体" w:hAnsi="宋体" w:eastAsia="宋体" w:cs="宋体"/>
          <w:b/>
          <w:color w:val="000000"/>
          <w:sz w:val="24"/>
        </w:rPr>
        <w:t>第五章 总结</w:t>
      </w:r>
      <w:r>
        <w:rPr>
          <w:rFonts w:ascii="宋体" w:hAnsi="宋体" w:eastAsia="宋体" w:cs="宋体"/>
          <w:color w:val="000000"/>
          <w:sz w:val="24"/>
        </w:rPr>
        <w:tab/>
        <w:t>25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5.1 作品总结</w:t>
      </w:r>
      <w:r>
        <w:rPr>
          <w:rFonts w:ascii="宋体" w:hAnsi="宋体" w:eastAsia="宋体" w:cs="宋体"/>
          <w:color w:val="000000"/>
          <w:sz w:val="24"/>
        </w:rPr>
        <w:tab/>
        <w:t>25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5.2 适用范围与局限</w:t>
      </w:r>
      <w:r>
        <w:rPr>
          <w:rFonts w:ascii="宋体" w:hAnsi="宋体" w:eastAsia="宋体" w:cs="宋体"/>
          <w:color w:val="000000"/>
          <w:sz w:val="24"/>
        </w:rPr>
        <w:tab/>
        <w:t>25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480"/>
      </w:pPr>
      <w:r>
        <w:rPr>
          <w:rFonts w:ascii="宋体" w:hAnsi="宋体" w:eastAsia="宋体" w:cs="宋体"/>
          <w:b w:val="0"/>
          <w:color w:val="000000"/>
          <w:sz w:val="24"/>
        </w:rPr>
        <w:t>5.3 后续计划</w:t>
      </w:r>
      <w:r>
        <w:rPr>
          <w:rFonts w:ascii="宋体" w:hAnsi="宋体" w:eastAsia="宋体" w:cs="宋体"/>
          <w:color w:val="000000"/>
          <w:sz w:val="24"/>
        </w:rPr>
        <w:tab/>
        <w:t>25</w:t>
      </w:r>
    </w:p>
    <w:p>
      <w:pPr>
        <w:widowControl/>
        <w:tabs>
          <w:tab w:pos="8617" w:val="right" w:leader="dot"/>
        </w:tabs>
        <w:spacing w:line="360" w:lineRule="auto" w:before="0" w:after="0"/>
        <w:ind w:firstLine="0" w:left="0"/>
      </w:pPr>
      <w:r>
        <w:rPr>
          <w:rFonts w:ascii="宋体" w:hAnsi="宋体" w:eastAsia="宋体" w:cs="宋体"/>
          <w:b/>
          <w:color w:val="000000"/>
          <w:sz w:val="24"/>
        </w:rPr>
        <w:t>参考文献</w:t>
      </w:r>
      <w:r>
        <w:rPr>
          <w:rFonts w:ascii="宋体" w:hAnsi="宋体" w:eastAsia="宋体" w:cs="宋体"/>
          <w:color w:val="000000"/>
          <w:sz w:val="24"/>
        </w:rPr>
        <w:tab/>
        <w:t>26</w:t>
      </w:r>
    </w:p>
    <w:p>
      <w:r>
        <w:br w:type="page"/>
      </w:r>
    </w:p>
    <w:p>
      <w:pPr>
        <w:pStyle w:val="2"/>
        <w:keepNext/>
        <w:spacing w:before="200" w:after="120" w:line="360" w:lineRule="auto"/>
        <w:ind w:firstLine="0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摘要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AI编程助手已经大规模进入软件开发，但AI生成的安全补丁能否被信任，目前缺少可靠的验收手段。公开研究显示，大模型在45%的编码任务中引入安全缺陷；2025年公开代码中新增泄露密钥2865万个，同比增长34%。现有手段各有盲区：密钥扫描与静态分析看不到运行时的凭据输出和越界访问，业务测试全部通过也不代表补丁安全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密证CredProof是面向AI安全补丁的可信验收闸门。它在一次性隔离副本中实际运行补丁，同时检查凭据泄露、越界读取、未授权连接三类风险和必要业务行为，给出通过、不通过、证据不足三种结论；结论绑定补丁的确切版本，代码一变即失效，并可在新环境重新执行复检。平台把AI候选、开发者修订、程序验收、人工采纳串成闭环：AI不能批准自己的补丁，人也不能推翻程序的不通过结论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在21份真实AI补丁上，CredProof未放行任何一份，其中7份业务测试全部通过；10份实际泄露凭据的补丁，密钥扫描发现0份，静态分析凭据规则仅发现3份。已知正确的5个版本全部通过，无误报。单次验收中位数1.6秒，本地运行，代码与凭据不出本机，可直接作为研发流水线门禁。</w:t>
      </w:r>
    </w:p>
    <w:p>
      <w:pPr>
        <w:widowControl/>
        <w:spacing w:line="360" w:lineRule="auto" w:before="0" w:after="60"/>
        <w:ind w:firstLine="0"/>
      </w:pPr>
      <w:r>
        <w:rPr>
          <w:rFonts w:ascii="宋体" w:hAnsi="宋体" w:eastAsia="宋体" w:cs="宋体"/>
          <w:b/>
          <w:color w:val="000000"/>
          <w:sz w:val="24"/>
        </w:rPr>
        <w:t>关键词：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AI生成代码；安全补丁验收；凭据泄露；人机协同；可复检</w:t>
      </w:r>
    </w:p>
    <w:p>
      <w:r>
        <w:br w:type="page"/>
      </w:r>
    </w:p>
    <w:p>
      <w:pPr>
        <w:pStyle w:val="2"/>
        <w:keepNext/>
        <w:spacing w:before="200" w:after="120" w:line="360" w:lineRule="auto"/>
        <w:ind w:firstLine="0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第一章 作品概述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1.1 背景：AI在写补丁，谁来验收AI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AI编程工具已经成为开发者的日常工具。Stack Overflow 2025年开发者调查（超过4.9万名受访者）显示，84%的开发者正在使用或计划使用AI工具，高于上一年的76%[3]；IDC报告显示，国内AI编程助手对开发者的覆盖率约为30%，市场正进入快速增长期[5]。与此同时，同一调查中46%的开发者不信任AI输出的准确性，比上一年的31%明显上升[3]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AI生成代码的安全风险已有大量实证。Veracode 2025年对100多个大模型、80项编码任务的测试表明，模型在45%的任务中引入了安全缺陷，其中日志注入类问题的失败率高达88%[2]。学术研究也发现，GitHub Copilot在安全相关场景生成的程序中约40%存在漏洞[7]。GitGuardian《2026密钥泄露态势报告》统计，2025年公开GitHub新增泄露密钥2865万个，同比增长34%；与AI服务相关的密钥泄露同比增长81%；由AI编程助手Claude Code协助完成的提交，密钥泄露率为3.2%，约为全部公开提交基线（1.5%）的2倍[1]。IBM《2025数据泄露成本报告》显示，全球单次数据泄露平均成本为444万美元，发生泄露的受访组织中63%尚无AI治理策略[4]。2025年10月，《网络安全法》修改决定通过，自2026年1月1日起施行，明确提出加强人工智能的风险监测评估和安全监管[6]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一个现实问题摆在每个引入AI编程助手的团队面前：</w:t>
      </w:r>
      <w:r>
        <w:rPr>
          <w:rFonts w:ascii="宋体" w:hAnsi="宋体" w:eastAsia="宋体" w:cs="宋体"/>
          <w:b/>
          <w:color w:val="000000"/>
          <w:sz w:val="24"/>
        </w:rPr>
        <w:t>AI说“已修复”，凭什么相信？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1.2 痛点：三种“看起来修好了”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我们在让本地大模型实际修复漏洞的过程中，反复观察到三种具有迷惑性的AI补丁（数据见第三章）：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1. </w:t>
      </w:r>
      <w:r>
        <w:rPr>
          <w:rFonts w:ascii="宋体" w:hAnsi="宋体" w:eastAsia="宋体" w:cs="宋体"/>
          <w:b/>
          <w:color w:val="000000"/>
          <w:sz w:val="24"/>
        </w:rPr>
        <w:t>表面修复，隐蔽泄露。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AI删除了日志里的凭据，代码审阅和原有业务测试都通过，但函数返回值里仍带着凭据，还会跟随服务器跳转，把认证信息发往未授权的服务。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2. </w:t>
      </w:r>
      <w:r>
        <w:rPr>
          <w:rFonts w:ascii="宋体" w:hAnsi="宋体" w:eastAsia="宋体" w:cs="宋体"/>
          <w:b/>
          <w:color w:val="000000"/>
          <w:sz w:val="24"/>
        </w:rPr>
        <w:t>一刀切的假修复。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AI让程序拒绝所有文件和网络访问。不再泄密、不再越界，4项业务测试也全部通过，但工具已经不读取应该读取的资料、也不访问应该访问的服务，实际功能被破坏。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3. </w:t>
      </w:r>
      <w:r>
        <w:rPr>
          <w:rFonts w:ascii="宋体" w:hAnsi="宋体" w:eastAsia="宋体" w:cs="宋体"/>
          <w:b/>
          <w:color w:val="000000"/>
          <w:sz w:val="24"/>
        </w:rPr>
        <w:t>业务全绿，安全不过。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在开源项目python-dotenv上，带缺陷的代码117项业务测试全部通过，却仍会读取授权目录之外的密钥文件，并把凭据写进返回结果。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这三种情况，密钥扫描、静态分析和常规CI测试都很难发现：凭据来自环境变量，代码中没有硬编码；泄露发生在运行时；业务测试只验证“该做的做了”，不验证“不该做的没做”。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1.3 作品定位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密证CredProof定位为</w:t>
      </w:r>
      <w:r>
        <w:rPr>
          <w:rFonts w:ascii="宋体" w:hAnsi="宋体" w:eastAsia="宋体" w:cs="宋体"/>
          <w:b/>
          <w:color w:val="000000"/>
          <w:sz w:val="24"/>
        </w:rPr>
        <w:t>AI生成安全补丁的可信验收闸门</w:t>
      </w:r>
      <w:r>
        <w:rPr>
          <w:rFonts w:ascii="宋体" w:hAnsi="宋体" w:eastAsia="宋体" w:cs="宋体"/>
          <w:b w:val="0"/>
          <w:color w:val="000000"/>
          <w:sz w:val="24"/>
        </w:rPr>
        <w:t>：</w:t>
      </w:r>
    </w:p>
    <w:p>
      <w:pPr>
        <w:widowControl/>
        <w:spacing w:line="360" w:lineRule="auto" w:before="0" w:after="60"/>
        <w:ind w:left="480" w:hanging="24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• </w:t>
      </w:r>
      <w:r>
        <w:rPr>
          <w:rFonts w:ascii="宋体" w:hAnsi="宋体" w:eastAsia="宋体" w:cs="宋体"/>
          <w:b/>
          <w:color w:val="000000"/>
          <w:sz w:val="24"/>
        </w:rPr>
        <w:t>对AI补丁：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不信任AI的自述，只信任在隔离环境中实际运行得到的证据；</w:t>
      </w:r>
    </w:p>
    <w:p>
      <w:pPr>
        <w:widowControl/>
        <w:spacing w:line="360" w:lineRule="auto" w:before="0" w:after="60"/>
        <w:ind w:left="480" w:hanging="24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• </w:t>
      </w:r>
      <w:r>
        <w:rPr>
          <w:rFonts w:ascii="宋体" w:hAnsi="宋体" w:eastAsia="宋体" w:cs="宋体"/>
          <w:b/>
          <w:color w:val="000000"/>
          <w:sz w:val="24"/>
        </w:rPr>
        <w:t>对开发者：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提供可修订、可追溯的工作台，AI修不好时由人接手，人的修订同样必须通过验收；</w:t>
      </w:r>
    </w:p>
    <w:p>
      <w:pPr>
        <w:widowControl/>
        <w:spacing w:line="360" w:lineRule="auto" w:before="0" w:after="60"/>
        <w:ind w:left="480" w:hanging="24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• </w:t>
      </w:r>
      <w:r>
        <w:rPr>
          <w:rFonts w:ascii="宋体" w:hAnsi="宋体" w:eastAsia="宋体" w:cs="宋体"/>
          <w:b/>
          <w:color w:val="000000"/>
          <w:sz w:val="24"/>
        </w:rPr>
        <w:t>对团队与审计：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每个结论都绑定到确切的代码版本，可导出、可在新环境重新执行；代码变化后，旧结论和旧审批自动失效。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一句话概括：</w:t>
      </w:r>
      <w:r>
        <w:rPr>
          <w:rFonts w:ascii="宋体" w:hAnsi="宋体" w:eastAsia="宋体" w:cs="宋体"/>
          <w:b/>
          <w:color w:val="000000"/>
          <w:sz w:val="24"/>
        </w:rPr>
        <w:t>让AI提出修复，让程序决定是否接受，让人决定是否采纳，让任何人都能复查。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1.4 目标用户与应用场景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419"/>
        <w:gridCol w:w="3032"/>
        <w:gridCol w:w="3167"/>
      </w:tblGrid>
      <w:tr>
        <w:trPr>
          <w:cantSplit/>
          <w:tblHeader/>
        </w:trPr>
        <w:tc>
          <w:tcPr>
            <w:tcW w:type="dxa" w:w="2419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用户</w:t>
            </w:r>
          </w:p>
        </w:tc>
        <w:tc>
          <w:tcPr>
            <w:tcW w:type="dxa" w:w="3032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典型场景</w:t>
            </w:r>
          </w:p>
        </w:tc>
        <w:tc>
          <w:tcPr>
            <w:tcW w:type="dxa" w:w="3167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CredProof提供的价值</w:t>
            </w:r>
          </w:p>
        </w:tc>
      </w:tr>
      <w:tr>
        <w:trPr>
          <w:cantSplit/>
        </w:trPr>
        <w:tc>
          <w:tcPr>
            <w:tcW w:type="dxa" w:w="241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引入AI编程助手的企业研发团队</w:t>
            </w:r>
          </w:p>
        </w:tc>
        <w:tc>
          <w:tcPr>
            <w:tcW w:type="dxa" w:w="303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合并前对AI生成或AI修改的安全相关代码设置门禁</w:t>
            </w:r>
          </w:p>
        </w:tc>
        <w:tc>
          <w:tcPr>
            <w:tcW w:type="dxa" w:w="316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运行时证据验收，阻止“看起来修好了”的补丁进入主干</w:t>
            </w:r>
          </w:p>
        </w:tc>
      </w:tr>
      <w:tr>
        <w:trPr>
          <w:cantSplit/>
        </w:trPr>
        <w:tc>
          <w:tcPr>
            <w:tcW w:type="dxa" w:w="241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企业安全团队、安全服务商</w:t>
            </w:r>
          </w:p>
        </w:tc>
        <w:tc>
          <w:tcPr>
            <w:tcW w:type="dxa" w:w="303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漏洞修复后的复测与交付验收</w:t>
            </w:r>
          </w:p>
        </w:tc>
        <w:tc>
          <w:tcPr>
            <w:tcW w:type="dxa" w:w="316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秒级自动复测，输出可导出、可复检的验收材料</w:t>
            </w:r>
          </w:p>
        </w:tc>
      </w:tr>
      <w:tr>
        <w:trPr>
          <w:cantSplit/>
        </w:trPr>
        <w:tc>
          <w:tcPr>
            <w:tcW w:type="dxa" w:w="241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AI编程工具与Agent平台厂商</w:t>
            </w:r>
          </w:p>
        </w:tc>
        <w:tc>
          <w:tcPr>
            <w:tcW w:type="dxa" w:w="303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评估模型生成补丁的真实可用率</w:t>
            </w:r>
          </w:p>
        </w:tc>
        <w:tc>
          <w:tcPr>
            <w:tcW w:type="dxa" w:w="316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统一、可重复的补丁质量评测基准</w:t>
            </w:r>
          </w:p>
        </w:tc>
      </w:tr>
      <w:tr>
        <w:trPr>
          <w:cantSplit/>
        </w:trPr>
        <w:tc>
          <w:tcPr>
            <w:tcW w:type="dxa" w:w="241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金融、政务等数据外传敏感单位</w:t>
            </w:r>
          </w:p>
        </w:tc>
        <w:tc>
          <w:tcPr>
            <w:tcW w:type="dxa" w:w="303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不允许源代码和凭据上传云端</w:t>
            </w:r>
          </w:p>
        </w:tc>
        <w:tc>
          <w:tcPr>
            <w:tcW w:type="dxa" w:w="316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本地模型、本地隔离执行，代码与凭据不出本机</w:t>
            </w:r>
          </w:p>
        </w:tc>
      </w:tr>
    </w:tbl>
    <w:p>
      <w:pPr>
        <w:widowControl/>
        <w:spacing w:line="192" w:lineRule="auto" w:before="0" w:after="0"/>
        <w:ind w:firstLine="0"/>
      </w:pP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一个典型使用过程。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某团队的AI编程助手为一个内部数据工具提交了“修复日志泄露”的合并请求，代码审阅看起来没有问题，CI全部通过。流水线随后调用CredProof：补丁在隔离副本中运行，结果发现凭据仍出现在函数返回值中，而且工具会跟随一次跳转，把认证头发往未授权地址。CredProof判定不通过，并把失败条件和脱敏证据附在合并请求上。AI或开发者据此修订，新版本通过全部14项条件后进入“待人工采纳”；负责人采纳后合并，验收报告与复检材料归档，供审计和交付使用。导出的回归测试留在项目里，以后每次提交都会重新验收。</w:t>
      </w:r>
    </w:p>
    <w:p>
      <w:pPr>
        <w:keepNext/>
        <w:widowControl/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19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0" w:after="120"/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图1 CredProof在研发流水线中的位置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1.5 核心功能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428"/>
        <w:gridCol w:w="6190"/>
      </w:tblGrid>
      <w:tr>
        <w:trPr>
          <w:cantSplit/>
          <w:tblHeader/>
        </w:trPr>
        <w:tc>
          <w:tcPr>
            <w:tcW w:type="dxa" w:w="2428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功能</w:t>
            </w:r>
          </w:p>
        </w:tc>
        <w:tc>
          <w:tcPr>
            <w:tcW w:type="dxa" w:w="6190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说明</w:t>
            </w:r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一键接入</w:t>
            </w:r>
          </w:p>
        </w:tc>
        <w:tc>
          <w:tcPr>
            <w:tcW w:type="dxa" w:w="6190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在项目中生成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credproof.toml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，声明入口、允许目录与服务、凭据变量名和必要业务测试</w:t>
            </w:r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隔离验收</w:t>
            </w:r>
          </w:p>
        </w:tc>
        <w:tc>
          <w:tcPr>
            <w:tcW w:type="dxa" w:w="6190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在一次性隔离副本中运行业务测试与安全场景，检查凭据泄露、越界读取、未授权连接</w:t>
            </w:r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三值判定</w:t>
            </w:r>
          </w:p>
        </w:tc>
        <w:tc>
          <w:tcPr>
            <w:tcW w:type="dxa" w:w="6190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通过、不通过、证据不足；证据缺失时绝不显示通过</w:t>
            </w:r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AI候选修复</w:t>
            </w:r>
          </w:p>
        </w:tc>
        <w:tc>
          <w:tcPr>
            <w:tcW w:type="dxa" w:w="6190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本地大模型基于运行证据提出补丁，不调用付费API</w:t>
            </w:r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开发者修订</w:t>
            </w:r>
          </w:p>
        </w:tc>
        <w:tc>
          <w:tcPr>
            <w:tcW w:type="dxa" w:w="6190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网页中查看AI原件、版本差异和验收报告，提交修订版本</w:t>
            </w:r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人工采纳</w:t>
            </w:r>
          </w:p>
        </w:tc>
        <w:tc>
          <w:tcPr>
            <w:tcW w:type="dxa" w:w="6190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程序判定与人工决定分开记录；AI不能自批，人不能推翻不通过</w:t>
            </w:r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导出复检</w:t>
            </w:r>
          </w:p>
        </w:tc>
        <w:tc>
          <w:tcPr>
            <w:tcW w:type="dxa" w:w="6190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导出补丁、规则、依赖和报告，可在新目录重新执行完整验收</w:t>
            </w:r>
          </w:p>
        </w:tc>
      </w:tr>
      <w:tr>
        <w:trPr>
          <w:cantSplit/>
        </w:trPr>
        <w:tc>
          <w:tcPr>
            <w:tcW w:type="dxa" w:w="242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回归测试导出</w:t>
            </w:r>
          </w:p>
        </w:tc>
        <w:tc>
          <w:tcPr>
            <w:tcW w:type="dxa" w:w="6190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生成可放入项目CI的pytest回归测试，以后每次提交自动重新验收</w:t>
            </w:r>
          </w:p>
        </w:tc>
      </w:tr>
    </w:tbl>
    <w:p>
      <w:pPr>
        <w:widowControl/>
        <w:spacing w:line="192" w:lineRule="auto" w:before="0" w:after="0"/>
        <w:ind w:firstLine="0"/>
      </w:pP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1.6 商业价值与推广路径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市场机会。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AI编程助手渗透率快速上升，国内开发者覆盖率约30%且仍在快速增长[5]；与此同时，AI相关密钥泄露一年增长81%[1]。现有代码安全产品主要面向人写的代码，以静态扫描为主。“AI补丁上线前的可信验收”是一个随AI编程普及而出现、尚未被充分覆盖的新环节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客户为什么需要。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1. </w:t>
      </w:r>
      <w:r>
        <w:rPr>
          <w:rFonts w:ascii="宋体" w:hAnsi="宋体" w:eastAsia="宋体" w:cs="宋体"/>
          <w:b/>
          <w:color w:val="000000"/>
          <w:sz w:val="24"/>
        </w:rPr>
        <w:t>降低风险成本：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一次数据泄露的平均成本为444万美元[4]，而一次CredProof验收的耗时以秒计；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2. </w:t>
      </w:r>
      <w:r>
        <w:rPr>
          <w:rFonts w:ascii="宋体" w:hAnsi="宋体" w:eastAsia="宋体" w:cs="宋体"/>
          <w:b/>
          <w:color w:val="000000"/>
          <w:sz w:val="24"/>
        </w:rPr>
        <w:t>把人工复测变成自动门禁：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安全团队不必逐个复测AI补丁，只需审阅程序判定为“通过”的版本；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3. </w:t>
      </w:r>
      <w:r>
        <w:rPr>
          <w:rFonts w:ascii="宋体" w:hAnsi="宋体" w:eastAsia="宋体" w:cs="宋体"/>
          <w:b/>
          <w:color w:val="000000"/>
          <w:sz w:val="24"/>
        </w:rPr>
        <w:t>满足合规与审计：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本地运行，数据不出域；每个结论都有可复检的材料，便于留存和第三方复查，契合《网络安全法》对人工智能风险监测评估的新要求[6]。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产品形态与商业模式。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277"/>
        <w:gridCol w:w="2058"/>
        <w:gridCol w:w="3304"/>
        <w:gridCol w:w="1978"/>
      </w:tblGrid>
      <w:tr>
        <w:trPr>
          <w:cantSplit/>
          <w:tblHeader/>
        </w:trPr>
        <w:tc>
          <w:tcPr>
            <w:tcW w:type="dxa" w:w="1277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形态</w:t>
            </w:r>
          </w:p>
        </w:tc>
        <w:tc>
          <w:tcPr>
            <w:tcW w:type="dxa" w:w="2058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面向对象</w:t>
            </w:r>
          </w:p>
        </w:tc>
        <w:tc>
          <w:tcPr>
            <w:tcW w:type="dxa" w:w="3304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内容</w:t>
            </w:r>
          </w:p>
        </w:tc>
        <w:tc>
          <w:tcPr>
            <w:tcW w:type="dxa" w:w="1978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收费方式</w:t>
            </w:r>
          </w:p>
        </w:tc>
      </w:tr>
      <w:tr>
        <w:trPr>
          <w:cantSplit/>
        </w:trPr>
        <w:tc>
          <w:tcPr>
            <w:tcW w:type="dxa" w:w="127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开源社区版</w:t>
            </w:r>
          </w:p>
        </w:tc>
        <w:tc>
          <w:tcPr>
            <w:tcW w:type="dxa" w:w="205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个人开发者、高校、开源项目</w:t>
            </w:r>
          </w:p>
        </w:tc>
        <w:tc>
          <w:tcPr>
            <w:tcW w:type="dxa" w:w="330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命令行、本地工作台、基础规则</w:t>
            </w:r>
          </w:p>
        </w:tc>
        <w:tc>
          <w:tcPr>
            <w:tcW w:type="dxa" w:w="197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免费，用于获取用户与反馈</w:t>
            </w:r>
          </w:p>
        </w:tc>
      </w:tr>
      <w:tr>
        <w:trPr>
          <w:cantSplit/>
        </w:trPr>
        <w:tc>
          <w:tcPr>
            <w:tcW w:type="dxa" w:w="127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企业版</w:t>
            </w:r>
          </w:p>
        </w:tc>
        <w:tc>
          <w:tcPr>
            <w:tcW w:type="dxa" w:w="205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企业研发与安全团队</w:t>
            </w:r>
          </w:p>
        </w:tc>
        <w:tc>
          <w:tcPr>
            <w:tcW w:type="dxa" w:w="330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私有化部署、CI/CD合并门禁插件、多项目管理、审批流、审计报表、规则库</w:t>
            </w:r>
          </w:p>
        </w:tc>
        <w:tc>
          <w:tcPr>
            <w:tcW w:type="dxa" w:w="197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按项目或席位订阅</w:t>
            </w:r>
          </w:p>
        </w:tc>
      </w:tr>
      <w:tr>
        <w:trPr>
          <w:cantSplit/>
        </w:trPr>
        <w:tc>
          <w:tcPr>
            <w:tcW w:type="dxa" w:w="127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评测服务</w:t>
            </w:r>
          </w:p>
        </w:tc>
        <w:tc>
          <w:tcPr>
            <w:tcW w:type="dxa" w:w="205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AI编程工具与大模型厂商</w:t>
            </w:r>
          </w:p>
        </w:tc>
        <w:tc>
          <w:tcPr>
            <w:tcW w:type="dxa" w:w="330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补丁真实可用率的标准化评测与报告</w:t>
            </w:r>
          </w:p>
        </w:tc>
        <w:tc>
          <w:tcPr>
            <w:tcW w:type="dxa" w:w="197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按评测项目收费</w:t>
            </w:r>
          </w:p>
        </w:tc>
      </w:tr>
    </w:tbl>
    <w:p>
      <w:pPr>
        <w:widowControl/>
        <w:spacing w:line="192" w:lineRule="auto" w:before="0" w:after="0"/>
        <w:ind w:firstLine="0"/>
      </w:pP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竞争优势。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与静态扫描相比，CredProof看的是补丁运行时的真实行为；与AI自动修复工具相比，它是独立于AI的裁判，并要求补丁保留业务功能；与人工复测相比，它是秒级、可重复、可留证的。它与现有扫描工具和CI是互补关系，可以直接接入现有流程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推广路径。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第一阶段，在高校与开源社区推广社区版，积累规则与案例；第二阶段，以“AI编程安全门禁”切入已采购AI编程助手的企业，优先金融、政务等数据敏感行业；第三阶段，扩展到更多语言和风险类型，并与AI编程平台合作提供补丁评测服务。</w:t>
      </w:r>
    </w:p>
    <w:p>
      <w:r>
        <w:br w:type="page"/>
      </w:r>
    </w:p>
    <w:p>
      <w:pPr>
        <w:pStyle w:val="2"/>
        <w:keepNext/>
        <w:spacing w:before="200" w:after="120" w:line="360" w:lineRule="auto"/>
        <w:ind w:firstLine="0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第二章 作品设计与实现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2.1 总体架构</w:t>
      </w:r>
    </w:p>
    <w:p>
      <w:pPr>
        <w:keepNext/>
        <w:widowControl/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319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-z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9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0" w:after="120"/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图2 CredProof总体架构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系统分为五层：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1. </w:t>
      </w:r>
      <w:r>
        <w:rPr>
          <w:rFonts w:ascii="宋体" w:hAnsi="宋体" w:eastAsia="宋体" w:cs="宋体"/>
          <w:b/>
          <w:color w:val="000000"/>
          <w:sz w:val="24"/>
        </w:rPr>
        <w:t>接入层：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项目配置文件</w:t>
      </w:r>
      <w:r>
        <w:rPr>
          <w:rFonts w:ascii="宋体" w:hAnsi="宋体" w:eastAsia="宋体" w:cs="宋体"/>
          <w:b w:val="0"/>
          <w:color w:val="000000"/>
          <w:sz w:val="24"/>
        </w:rPr>
        <w:t>credproof.toml</w:t>
      </w:r>
      <w:r>
        <w:rPr>
          <w:rFonts w:ascii="宋体" w:hAnsi="宋体" w:eastAsia="宋体" w:cs="宋体"/>
          <w:b w:val="0"/>
          <w:color w:val="000000"/>
          <w:sz w:val="24"/>
        </w:rPr>
        <w:t>、命令行工具和本地Web工作台。配置由开发者确认；网页只能选择启动时登记的项目，不接受任意路径或命令。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2. </w:t>
      </w:r>
      <w:r>
        <w:rPr>
          <w:rFonts w:ascii="宋体" w:hAnsi="宋体" w:eastAsia="宋体" w:cs="宋体"/>
          <w:b/>
          <w:color w:val="000000"/>
          <w:sz w:val="24"/>
        </w:rPr>
        <w:t>执行层：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每次验收复制一份一次性项目副本，在WSL与bubblewrap[10]构建的隔离环境中运行。隔离环境只读挂载系统和项目，无外网，清空环境变量，并限制CPU、内存、文件和进程数。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3. </w:t>
      </w:r>
      <w:r>
        <w:rPr>
          <w:rFonts w:ascii="宋体" w:hAnsi="宋体" w:eastAsia="宋体" w:cs="宋体"/>
          <w:b/>
          <w:color w:val="000000"/>
          <w:sz w:val="24"/>
        </w:rPr>
        <w:t>观测层：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在被测代码之外独立记录运行行为，包括Python审计钩子记录的文件访问和网络连接、两个本地模拟服务（允许服务与禁止服务）的请求回执、DEBUG级日志，以及标准输出、错误输出、返回值和异常中是否出现本次随机生成的合成凭据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4. </w:t>
      </w:r>
      <w:r>
        <w:rPr>
          <w:rFonts w:ascii="宋体" w:hAnsi="宋体" w:eastAsia="宋体" w:cs="宋体"/>
          <w:b/>
          <w:color w:val="000000"/>
          <w:sz w:val="24"/>
        </w:rPr>
        <w:t>判定层：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固定程序根据14项必要条件计算结论。条件由人工预先确定，AI和网页都无法修改。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5. </w:t>
      </w:r>
      <w:r>
        <w:rPr>
          <w:rFonts w:ascii="宋体" w:hAnsi="宋体" w:eastAsia="宋体" w:cs="宋体"/>
          <w:b/>
          <w:color w:val="000000"/>
          <w:sz w:val="24"/>
        </w:rPr>
        <w:t>协同层：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版本链、开发者修订、人工决定、导出与复检。所有结论和决定都绑定到确切的代码版本。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AI模型运行在独立的模型进程边界内：只有本地回环网络，外网连接被阻断，看不到项目仓库和真实凭据，只能通过受控接口读取允许的代码与证据并提交候选。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2.2 验收闸门工作流程</w:t>
      </w:r>
    </w:p>
    <w:p>
      <w:pPr>
        <w:keepNext/>
        <w:widowControl/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7907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9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0" w:after="120"/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图3 AI补丁验收闸门工作流程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1. </w:t>
      </w:r>
      <w:r>
        <w:rPr>
          <w:rFonts w:ascii="宋体" w:hAnsi="宋体" w:eastAsia="宋体" w:cs="宋体"/>
          <w:b/>
          <w:color w:val="000000"/>
          <w:sz w:val="24"/>
        </w:rPr>
        <w:t>发现问题：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程序在隔离副本中运行原始代码，取得凭据泄露、越界读取或未授权连接的运行证据。只有存在真实违规证据时才开放修复。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2. </w:t>
      </w:r>
      <w:r>
        <w:rPr>
          <w:rFonts w:ascii="宋体" w:hAnsi="宋体" w:eastAsia="宋体" w:cs="宋体"/>
          <w:b/>
          <w:color w:val="000000"/>
          <w:sz w:val="24"/>
        </w:rPr>
        <w:t>AI提出候选：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本地模型读取允许的代码和脱敏证据，提交候选补丁。模型只能修改登记的入口文件，不能修改测试、配置、规则或访问组件。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3. </w:t>
      </w:r>
      <w:r>
        <w:rPr>
          <w:rFonts w:ascii="宋体" w:hAnsi="宋体" w:eastAsia="宋体" w:cs="宋体"/>
          <w:b/>
          <w:color w:val="000000"/>
          <w:sz w:val="24"/>
        </w:rPr>
        <w:t>程序验收：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候选补丁进入新的隔离副本，重新运行全部业务测试和安全场景。验收失败的事实可以反馈给模型，由模型再次提出候选。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4. </w:t>
      </w:r>
      <w:r>
        <w:rPr>
          <w:rFonts w:ascii="宋体" w:hAnsi="宋体" w:eastAsia="宋体" w:cs="宋体"/>
          <w:b/>
          <w:color w:val="000000"/>
          <w:sz w:val="24"/>
        </w:rPr>
        <w:t>开发者修订：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AI修不好时，开发者在工作台查看AI原件、失败证据和差异，提交修订版本。修订保存为新版本，不覆盖AI原件。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5. </w:t>
      </w:r>
      <w:r>
        <w:rPr>
          <w:rFonts w:ascii="宋体" w:hAnsi="宋体" w:eastAsia="宋体" w:cs="宋体"/>
          <w:b/>
          <w:color w:val="000000"/>
          <w:sz w:val="24"/>
        </w:rPr>
        <w:t>重新验收：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修订版本必须通过同一套验收，开发者也不能绕过。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6. </w:t>
      </w:r>
      <w:r>
        <w:rPr>
          <w:rFonts w:ascii="宋体" w:hAnsi="宋体" w:eastAsia="宋体" w:cs="宋体"/>
          <w:b/>
          <w:color w:val="000000"/>
          <w:sz w:val="24"/>
        </w:rPr>
        <w:t>人工采纳：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程序通过后，状态为“待人工决定”。人工可以采纳、拒绝或要求修改；程序未通过的版本不能被采纳。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7. </w:t>
      </w:r>
      <w:r>
        <w:rPr>
          <w:rFonts w:ascii="宋体" w:hAnsi="宋体" w:eastAsia="宋体" w:cs="宋体"/>
          <w:b/>
          <w:color w:val="000000"/>
          <w:sz w:val="24"/>
        </w:rPr>
        <w:t>导出与复检：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导出补丁、配置、测试、访问组件和报告；在任何新目录中都可以重新执行完整验收，而不是读取保存的结论。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2.3 关键技术一：双向证据判定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传统安全检查只问“有没有做坏事”。CredProof同时要求“必须做了该做的事”，14项必要条件分为四组：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434"/>
        <w:gridCol w:w="4701"/>
        <w:gridCol w:w="2483"/>
      </w:tblGrid>
      <w:tr>
        <w:trPr>
          <w:cantSplit/>
          <w:tblHeader/>
        </w:trPr>
        <w:tc>
          <w:tcPr>
            <w:tcW w:type="dxa" w:w="1434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类别</w:t>
            </w:r>
          </w:p>
        </w:tc>
        <w:tc>
          <w:tcPr>
            <w:tcW w:type="dxa" w:w="4701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必要条件</w:t>
            </w:r>
          </w:p>
        </w:tc>
        <w:tc>
          <w:tcPr>
            <w:tcW w:type="dxa" w:w="2483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防止的问题</w:t>
            </w:r>
          </w:p>
        </w:tc>
      </w:tr>
      <w:tr>
        <w:trPr>
          <w:cantSplit/>
        </w:trPr>
        <w:tc>
          <w:tcPr>
            <w:tcW w:type="dxa" w:w="143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业务保持</w:t>
            </w:r>
          </w:p>
        </w:tc>
        <w:tc>
          <w:tcPr>
            <w:tcW w:type="dxa" w:w="4701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业务测试全部收集、执行并通过；入口正常完成；每个声明的场景得到预期结果</w:t>
            </w:r>
          </w:p>
        </w:tc>
        <w:tc>
          <w:tcPr>
            <w:tcW w:type="dxa" w:w="2483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补丁破坏业务、测试被跳过</w:t>
            </w:r>
          </w:p>
        </w:tc>
      </w:tr>
      <w:tr>
        <w:trPr>
          <w:cantSplit/>
        </w:trPr>
        <w:tc>
          <w:tcPr>
            <w:tcW w:type="dxa" w:w="143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不泄密</w:t>
            </w:r>
          </w:p>
        </w:tc>
        <w:tc>
          <w:tcPr>
            <w:tcW w:type="dxa" w:w="4701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返回值、输出、日志、异常中均不出现合成凭据</w:t>
            </w:r>
          </w:p>
        </w:tc>
        <w:tc>
          <w:tcPr>
            <w:tcW w:type="dxa" w:w="2483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隐蔽通道泄露</w:t>
            </w:r>
          </w:p>
        </w:tc>
      </w:tr>
      <w:tr>
        <w:trPr>
          <w:cantSplit/>
        </w:trPr>
        <w:tc>
          <w:tcPr>
            <w:tcW w:type="dxa" w:w="143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不乱读</w:t>
            </w:r>
          </w:p>
        </w:tc>
        <w:tc>
          <w:tcPr>
            <w:tcW w:type="dxa" w:w="4701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没有读取禁止目录或范围外文件；</w:t>
            </w: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必须实际读取了允许文件</w:t>
            </w:r>
          </w:p>
        </w:tc>
        <w:tc>
          <w:tcPr>
            <w:tcW w:type="dxa" w:w="2483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越界读取；一刀切拒绝</w:t>
            </w:r>
          </w:p>
        </w:tc>
      </w:tr>
      <w:tr>
        <w:trPr>
          <w:cantSplit/>
        </w:trPr>
        <w:tc>
          <w:tcPr>
            <w:tcW w:type="dxa" w:w="143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不乱连</w:t>
            </w:r>
          </w:p>
        </w:tc>
        <w:tc>
          <w:tcPr>
            <w:tcW w:type="dxa" w:w="4701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禁止服务没有收到请求、没有未授权连接；</w:t>
            </w: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必须带凭据成功访问允许服务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；访问路径在允许前缀内</w:t>
            </w:r>
          </w:p>
        </w:tc>
        <w:tc>
          <w:tcPr>
            <w:tcW w:type="dxa" w:w="2483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跳转泄露；一刀切拒绝</w:t>
            </w:r>
          </w:p>
        </w:tc>
      </w:tr>
    </w:tbl>
    <w:p>
      <w:pPr>
        <w:widowControl/>
        <w:spacing w:line="192" w:lineRule="auto" w:before="0" w:after="0"/>
        <w:ind w:firstLine="0"/>
      </w:pP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结论分为三种：</w:t>
      </w:r>
    </w:p>
    <w:p>
      <w:pPr>
        <w:widowControl/>
        <w:spacing w:line="360" w:lineRule="auto" w:before="0" w:after="60"/>
        <w:ind w:left="480" w:hanging="24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• </w:t>
      </w:r>
      <w:r>
        <w:rPr>
          <w:rFonts w:ascii="宋体" w:hAnsi="宋体" w:eastAsia="宋体" w:cs="宋体"/>
          <w:b/>
          <w:color w:val="000000"/>
          <w:sz w:val="24"/>
        </w:rPr>
        <w:t>通过：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全部必要条件满足；</w:t>
      </w:r>
    </w:p>
    <w:p>
      <w:pPr>
        <w:widowControl/>
        <w:spacing w:line="360" w:lineRule="auto" w:before="0" w:after="60"/>
        <w:ind w:left="480" w:hanging="24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• </w:t>
      </w:r>
      <w:r>
        <w:rPr>
          <w:rFonts w:ascii="宋体" w:hAnsi="宋体" w:eastAsia="宋体" w:cs="宋体"/>
          <w:b/>
          <w:color w:val="000000"/>
          <w:sz w:val="24"/>
        </w:rPr>
        <w:t>不通过：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存在明确反例，例如凭据出现在日志里、禁止服务收到了请求；</w:t>
      </w:r>
    </w:p>
    <w:p>
      <w:pPr>
        <w:widowControl/>
        <w:spacing w:line="360" w:lineRule="auto" w:before="0" w:after="60"/>
        <w:ind w:left="480" w:hanging="24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• </w:t>
      </w:r>
      <w:r>
        <w:rPr>
          <w:rFonts w:ascii="宋体" w:hAnsi="宋体" w:eastAsia="宋体" w:cs="宋体"/>
          <w:b/>
          <w:color w:val="000000"/>
          <w:sz w:val="24"/>
        </w:rPr>
        <w:t>证据不足：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隔离环境不可用、观测字段缺失、必要测试未执行或全部跳过，或者某个需要网络的场景在发出任何请求之前就报错。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最后一点很关键：AI补丁常常因为提前报错而“看起来”没有访问禁止服务。CredProof把这种情况判为证据不足，而不是安全。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2.4 关键技术二：行为级运行时观测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018"/>
        <w:gridCol w:w="6600"/>
      </w:tblGrid>
      <w:tr>
        <w:trPr>
          <w:cantSplit/>
          <w:tblHeader/>
        </w:trPr>
        <w:tc>
          <w:tcPr>
            <w:tcW w:type="dxa" w:w="2018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风险</w:t>
            </w:r>
          </w:p>
        </w:tc>
        <w:tc>
          <w:tcPr>
            <w:tcW w:type="dxa" w:w="6600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观测方式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凭据泄露</w:t>
            </w:r>
          </w:p>
        </w:tc>
        <w:tc>
          <w:tcPr>
            <w:tcW w:type="dxa" w:w="6600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每次验收随机生成合成凭据并注入环境变量；检查返回值、标准输出、错误输出、DEBUG级日志、异常信息中是否出现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越界读取</w:t>
            </w:r>
          </w:p>
        </w:tc>
        <w:tc>
          <w:tcPr>
            <w:tcW w:type="dxa" w:w="6600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Python运行时审计钩子[9]记录每次文件打开，先解析真实路径再分类，覆盖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../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穿越、符号链接、绝对路径等绕过方式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未授权连接</w:t>
            </w:r>
          </w:p>
        </w:tc>
        <w:tc>
          <w:tcPr>
            <w:tcW w:type="dxa" w:w="6600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两个独立的本地模拟服务分别代表允许与禁止的目标；允许服务的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/redirect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会跳转到禁止服务，用于发现跟随跳转的泄露</w:t>
            </w:r>
          </w:p>
        </w:tc>
      </w:tr>
      <w:tr>
        <w:trPr>
          <w:cantSplit/>
        </w:trPr>
        <w:tc>
          <w:tcPr>
            <w:tcW w:type="dxa" w:w="201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业务行为</w:t>
            </w:r>
          </w:p>
        </w:tc>
        <w:tc>
          <w:tcPr>
            <w:tcW w:type="dxa" w:w="6600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内置pytest观察插件，按用例记录收集、执行、通过、跳过、失败，不依赖解析文本输出</w:t>
            </w:r>
          </w:p>
        </w:tc>
      </w:tr>
    </w:tbl>
    <w:p>
      <w:pPr>
        <w:widowControl/>
        <w:spacing w:line="192" w:lineRule="auto" w:before="0" w:after="0"/>
        <w:ind w:firstLine="0"/>
      </w:pP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观测脚本由受信程序在加载项目代码之前安装；凭据值和原始输出只保留在本地，导出报告自动脱敏。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2.5 关键技术三：受控访问组件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AI补丁失败的一个常见原因，是自己实现路径校验和跳转处理时出错。CredProof提供固定的访问组件</w:t>
      </w:r>
      <w:r>
        <w:rPr>
          <w:rFonts w:ascii="宋体" w:hAnsi="宋体" w:eastAsia="宋体" w:cs="宋体"/>
          <w:b w:val="0"/>
          <w:color w:val="000000"/>
          <w:sz w:val="24"/>
        </w:rPr>
        <w:t>credproof_access</w:t>
      </w:r>
      <w:r>
        <w:rPr>
          <w:rFonts w:ascii="宋体" w:hAnsi="宋体" w:eastAsia="宋体" w:cs="宋体"/>
          <w:b w:val="0"/>
          <w:color w:val="000000"/>
          <w:sz w:val="24"/>
        </w:rPr>
        <w:t>，只有两个函数：</w:t>
      </w:r>
      <w:r>
        <w:rPr>
          <w:rFonts w:ascii="宋体" w:hAnsi="宋体" w:eastAsia="宋体" w:cs="宋体"/>
          <w:b w:val="0"/>
          <w:color w:val="000000"/>
          <w:sz w:val="24"/>
        </w:rPr>
        <w:t>read_text(path)</w:t>
      </w:r>
      <w:r>
        <w:rPr>
          <w:rFonts w:ascii="宋体" w:hAnsi="宋体" w:eastAsia="宋体" w:cs="宋体"/>
          <w:b w:val="0"/>
          <w:color w:val="000000"/>
          <w:sz w:val="24"/>
        </w:rPr>
        <w:t>在解析真实路径后只允许读取授权目录；</w:t>
      </w:r>
      <w:r>
        <w:rPr>
          <w:rFonts w:ascii="宋体" w:hAnsi="宋体" w:eastAsia="宋体" w:cs="宋体"/>
          <w:b w:val="0"/>
          <w:color w:val="000000"/>
          <w:sz w:val="24"/>
        </w:rPr>
        <w:t>get_json(url, credential)</w:t>
      </w:r>
      <w:r>
        <w:rPr>
          <w:rFonts w:ascii="宋体" w:hAnsi="宋体" w:eastAsia="宋体" w:cs="宋体"/>
          <w:b w:val="0"/>
          <w:color w:val="000000"/>
          <w:sz w:val="24"/>
        </w:rPr>
        <w:t>只允许带凭据访问授权服务，且从不跟随跳转。访问策略由隔离环境在加载项目代码前一次性安装，请求和模型都无法修改。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组件把“正确的安全写法”变成可复用的基础能力：开发者或AI只需正确调用，安全边界由组件保证。组件本身的版本与摘要也纳入验收绑定，组件变化会使旧结论失效。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2.6 关键技术四：结论与版本绑定的人机协同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103"/>
        <w:gridCol w:w="6515"/>
      </w:tblGrid>
      <w:tr>
        <w:trPr>
          <w:cantSplit/>
          <w:tblHeader/>
        </w:trPr>
        <w:tc>
          <w:tcPr>
            <w:tcW w:type="dxa" w:w="2103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机制</w:t>
            </w:r>
          </w:p>
        </w:tc>
        <w:tc>
          <w:tcPr>
            <w:tcW w:type="dxa" w:w="6515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实现</w:t>
            </w:r>
          </w:p>
        </w:tc>
      </w:tr>
      <w:tr>
        <w:trPr>
          <w:cantSplit/>
        </w:trPr>
        <w:tc>
          <w:tcPr>
            <w:tcW w:type="dxa" w:w="2103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版本链</w:t>
            </w:r>
          </w:p>
        </w:tc>
        <w:tc>
          <w:tcPr>
            <w:tcW w:type="dxa" w:w="6515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AI原件为第0版，每次开发者修订保存为新版本，记录父版本、来源、理由和代码摘要</w:t>
            </w:r>
          </w:p>
        </w:tc>
      </w:tr>
      <w:tr>
        <w:trPr>
          <w:cantSplit/>
        </w:trPr>
        <w:tc>
          <w:tcPr>
            <w:tcW w:type="dxa" w:w="2103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不可变规则</w:t>
            </w:r>
          </w:p>
        </w:tc>
        <w:tc>
          <w:tcPr>
            <w:tcW w:type="dxa" w:w="6515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修订只能改登记的入口文件；测试、配置、组件与冻结基线逐字节比对</w:t>
            </w:r>
          </w:p>
        </w:tc>
      </w:tr>
      <w:tr>
        <w:trPr>
          <w:cantSplit/>
        </w:trPr>
        <w:tc>
          <w:tcPr>
            <w:tcW w:type="dxa" w:w="2103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结论绑定</w:t>
            </w:r>
          </w:p>
        </w:tc>
        <w:tc>
          <w:tcPr>
            <w:tcW w:type="dxa" w:w="6515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验收报告记录项目树摘要；当前代码与报告不一致时，结论自动变为证据不足</w:t>
            </w:r>
          </w:p>
        </w:tc>
      </w:tr>
      <w:tr>
        <w:trPr>
          <w:cantSplit/>
        </w:trPr>
        <w:tc>
          <w:tcPr>
            <w:tcW w:type="dxa" w:w="2103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防过期操作</w:t>
            </w:r>
          </w:p>
        </w:tc>
        <w:tc>
          <w:tcPr>
            <w:tcW w:type="dxa" w:w="6515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每次修订、验收、审批、导出都必须携带当前版本、对象摘要、报告摘要和决定数量，任何一项不一致即拒绝</w:t>
            </w:r>
          </w:p>
        </w:tc>
      </w:tr>
      <w:tr>
        <w:trPr>
          <w:cantSplit/>
        </w:trPr>
        <w:tc>
          <w:tcPr>
            <w:tcW w:type="dxa" w:w="2103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审批约束</w:t>
            </w:r>
          </w:p>
        </w:tc>
        <w:tc>
          <w:tcPr>
            <w:tcW w:type="dxa" w:w="6515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只有当前完整通过的版本可以采纳；重新验收后旧批准不会自动恢复；决定只追加、不覆盖</w:t>
            </w:r>
          </w:p>
        </w:tc>
      </w:tr>
      <w:tr>
        <w:trPr>
          <w:cantSplit/>
        </w:trPr>
        <w:tc>
          <w:tcPr>
            <w:tcW w:type="dxa" w:w="2103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导出复检</w:t>
            </w:r>
          </w:p>
        </w:tc>
        <w:tc>
          <w:tcPr>
            <w:tcW w:type="dxa" w:w="6515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导出包含补丁、规则、依赖、报告和清单；复检时先核对清单，再在新目录完整执行，不读取保存的结论</w:t>
            </w:r>
          </w:p>
        </w:tc>
      </w:tr>
    </w:tbl>
    <w:p>
      <w:pPr>
        <w:widowControl/>
        <w:spacing w:line="192" w:lineRule="auto" w:before="0" w:after="0"/>
        <w:ind w:firstLine="0"/>
      </w:pP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2.7 接入与部署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开发者接入只需四步：</w:t>
      </w:r>
    </w:p>
    <w:p>
      <w:pPr>
        <w:widowControl/>
        <w:spacing w:line="300" w:lineRule="auto" w:before="0" w:after="0"/>
        <w:ind w:firstLine="0" w:left="480"/>
      </w:pPr>
      <w:r>
        <w:rPr>
          <w:rFonts w:ascii="宋体" w:hAnsi="宋体" w:eastAsia="宋体" w:cs="宋体"/>
          <w:color w:val="000000"/>
          <w:sz w:val="24"/>
        </w:rPr>
        <w:t>python -m credproof_safety init --project . --write</w:t>
      </w:r>
    </w:p>
    <w:p>
      <w:pPr>
        <w:widowControl/>
        <w:spacing w:line="300" w:lineRule="auto" w:before="0" w:after="0"/>
        <w:ind w:firstLine="0" w:left="480"/>
      </w:pPr>
      <w:r>
        <w:rPr>
          <w:rFonts w:ascii="宋体" w:hAnsi="宋体" w:eastAsia="宋体" w:cs="宋体"/>
          <w:color w:val="000000"/>
          <w:sz w:val="24"/>
        </w:rPr>
        <w:t>python -m credproof_safety check --config credproof.toml</w:t>
      </w:r>
    </w:p>
    <w:p>
      <w:pPr>
        <w:widowControl/>
        <w:spacing w:line="300" w:lineRule="auto" w:before="0" w:after="0"/>
        <w:ind w:firstLine="0" w:left="480"/>
      </w:pPr>
      <w:r>
        <w:rPr>
          <w:rFonts w:ascii="宋体" w:hAnsi="宋体" w:eastAsia="宋体" w:cs="宋体"/>
          <w:color w:val="000000"/>
          <w:sz w:val="24"/>
        </w:rPr>
        <w:t>python -m credproof_safety repair --strategy bounded_patch --config credproof.toml</w:t>
      </w:r>
    </w:p>
    <w:p>
      <w:pPr>
        <w:widowControl/>
        <w:spacing w:line="300" w:lineRule="auto" w:before="0" w:after="0"/>
        <w:ind w:firstLine="0" w:left="480"/>
      </w:pPr>
      <w:r>
        <w:rPr>
          <w:rFonts w:ascii="宋体" w:hAnsi="宋体" w:eastAsia="宋体" w:cs="宋体"/>
          <w:color w:val="000000"/>
          <w:sz w:val="24"/>
        </w:rPr>
        <w:t>python -m credproof_safety export-tests --config credproof.toml --output tests/credproof-regression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第四步导出的回归测试可以直接放进项目的pytest和CI流程。平台以Python wheel安装；查看、修订、审批不需要GPU；隔离验收使用Windows配合WSL环境；AI候选生成使用本地Qwen2.5-Coder 32B量化模型[8]，单张消费级显卡即可运行，不调用任何付费API。</w:t>
      </w:r>
    </w:p>
    <w:p>
      <w:pPr>
        <w:keepNext/>
        <w:widowControl/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20763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bench-re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7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0" w:after="120"/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图4 本地工作台：AI候选未通过后，开发者修订版本通过验收，等待人工决定</w:t>
      </w:r>
    </w:p>
    <w:p>
      <w:r>
        <w:br w:type="page"/>
      </w:r>
    </w:p>
    <w:p>
      <w:pPr>
        <w:pStyle w:val="2"/>
        <w:keepNext/>
        <w:spacing w:before="200" w:after="120" w:line="360" w:lineRule="auto"/>
        <w:ind w:firstLine="0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第三章 作品测试与分析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3.1 测试环境与样本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729"/>
        <w:gridCol w:w="6888"/>
      </w:tblGrid>
      <w:tr>
        <w:trPr>
          <w:cantSplit/>
          <w:tblHeader/>
        </w:trPr>
        <w:tc>
          <w:tcPr>
            <w:tcW w:type="dxa" w:w="1729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项目</w:t>
            </w:r>
          </w:p>
        </w:tc>
        <w:tc>
          <w:tcPr>
            <w:tcW w:type="dxa" w:w="6888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配置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硬件</w:t>
            </w:r>
          </w:p>
        </w:tc>
        <w:tc>
          <w:tcPr>
            <w:tcW w:type="dxa" w:w="688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单台工作站，RTX 5090显卡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隔离环境</w:t>
            </w:r>
          </w:p>
        </w:tc>
        <w:tc>
          <w:tcPr>
            <w:tcW w:type="dxa" w:w="688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Windows + WSL Ubuntu 24.04 + bubblewrap，审核过的只读根文件系统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软件</w:t>
            </w:r>
          </w:p>
        </w:tc>
        <w:tc>
          <w:tcPr>
            <w:tcW w:type="dxa" w:w="688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Python 3.12、pytest 8.4.2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模型</w:t>
            </w:r>
          </w:p>
        </w:tc>
        <w:tc>
          <w:tcPr>
            <w:tcW w:type="dxa" w:w="688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本地qwen3-coder:30b、qwen2.5-coder:32b-instruct（Q4_K_M）[8]，经Ollama运行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被测项目</w:t>
            </w:r>
          </w:p>
        </w:tc>
        <w:tc>
          <w:tcPr>
            <w:tcW w:type="dxa" w:w="688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资料助手（含凭据泄露、越界读取、跟随跳转三类缺陷，4项业务测试）；开源项目python-dotenv v1.2.2（114项上游测试＋3项适配测试）[11]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对比工具</w:t>
            </w:r>
          </w:p>
        </w:tc>
        <w:tc>
          <w:tcPr>
            <w:tcW w:type="dxa" w:w="688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Gitleaks 8.28.0、Bandit 1.8.6、Semgrep 1.180.0（社区规则python与密钥两个目录，共562个规则文件）[12]</w:t>
            </w:r>
          </w:p>
        </w:tc>
      </w:tr>
    </w:tbl>
    <w:p>
      <w:pPr>
        <w:widowControl/>
        <w:spacing w:line="192" w:lineRule="auto" w:before="0" w:after="0"/>
        <w:ind w:firstLine="0"/>
      </w:pP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所有凭据都是每次随机生成的合成值，所有服务都是隔离环境内的本地模拟服务，不涉及真实账户。全部补丁源码、原始验收报告和统计脚本随作品提供，可逐条核对。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3.2 实验一：21份真实AI补丁的验收对比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样本。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开发过程中，本地大模型在五种修复策略下（工具调用Agent、上下文预算控制、受限补丁生成、组件辅助生成、失败反馈修订）共产生21份不同的AI补丁（按源码摘要去重），其中19份针对资料助手，2份针对python-dotenv。补丁全部来自真实模型输出，没有人为构造或挑选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结果一：没有一份AI补丁被放行。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21份补丁中，CredProof判定不通过20份、证据不足1份（语法错误，业务测试无法执行），通过0份。与之对照，已知正确的5个版本（参考修复、无关修改、python-dotenv修复版及其无关修改、开发者修订版）全部判定通过，没有误报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结果二：业务测试和静态工具大量漏判。</w:t>
      </w:r>
    </w:p>
    <w:p>
      <w:pPr>
        <w:keepNext/>
        <w:widowControl/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476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76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0" w:after="120"/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图5 同一批AI补丁：现有方法与CredProof的发现情况对比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156"/>
        <w:gridCol w:w="4461"/>
      </w:tblGrid>
      <w:tr>
        <w:trPr>
          <w:cantSplit/>
          <w:tblHeader/>
        </w:trPr>
        <w:tc>
          <w:tcPr>
            <w:tcW w:type="dxa" w:w="4156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指标</w:t>
            </w:r>
          </w:p>
        </w:tc>
        <w:tc>
          <w:tcPr>
            <w:tcW w:type="dxa" w:w="4461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结果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业务测试全部通过（CI显示绿色）的AI补丁</w:t>
            </w:r>
          </w:p>
        </w:tc>
        <w:tc>
          <w:tcPr>
            <w:tcW w:type="dxa" w:w="4461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21份中有7份，即三分之一；</w:t>
            </w: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7份全部被CredProof判定不通过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实际泄露凭据的AI补丁（运行中出现本次随机凭据）</w:t>
            </w:r>
          </w:p>
        </w:tc>
        <w:tc>
          <w:tcPr>
            <w:tcW w:type="dxa" w:w="4461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10份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其中被Gitleaks密钥扫描发现</w:t>
            </w:r>
          </w:p>
        </w:tc>
        <w:tc>
          <w:tcPr>
            <w:tcW w:type="dxa" w:w="4461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0份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其中被Semgrep凭据日志规则发现</w:t>
            </w:r>
          </w:p>
        </w:tc>
        <w:tc>
          <w:tcPr>
            <w:tcW w:type="dxa" w:w="4461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3份；该规则另对3份并未泄露的补丁误报</w:t>
            </w:r>
          </w:p>
        </w:tc>
      </w:tr>
      <w:tr>
        <w:trPr>
          <w:cantSplit/>
        </w:trPr>
        <w:tc>
          <w:tcPr>
            <w:tcW w:type="dxa" w:w="415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三种静态工具均无任何告警、但实际不合格的AI补丁</w:t>
            </w:r>
          </w:p>
        </w:tc>
        <w:tc>
          <w:tcPr>
            <w:tcW w:type="dxa" w:w="4461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3份（含1份同时泄露凭据并越界读取的补丁）</w:t>
            </w:r>
          </w:p>
        </w:tc>
      </w:tr>
    </w:tbl>
    <w:p>
      <w:pPr>
        <w:widowControl/>
        <w:spacing w:line="192" w:lineRule="auto" w:before="0" w:after="0"/>
        <w:ind w:firstLine="0"/>
      </w:pP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Bandit对多数补丁给出“使用了URL打开函数”的通用提示，但该提示同样出现在原始漏洞代码上，补丁换用其他库后即消失，不能说明补丁是否修好。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7份“业务全绿”补丁为什么不合格：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206"/>
        <w:gridCol w:w="1367"/>
        <w:gridCol w:w="4044"/>
      </w:tblGrid>
      <w:tr>
        <w:trPr>
          <w:cantSplit/>
          <w:tblHeader/>
        </w:trPr>
        <w:tc>
          <w:tcPr>
            <w:tcW w:type="dxa" w:w="3206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不合格原因</w:t>
            </w:r>
          </w:p>
        </w:tc>
        <w:tc>
          <w:tcPr>
            <w:tcW w:type="dxa" w:w="1367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份数</w:t>
            </w:r>
          </w:p>
        </w:tc>
        <w:tc>
          <w:tcPr>
            <w:tcW w:type="dxa" w:w="4044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说明</w:t>
            </w:r>
          </w:p>
        </w:tc>
      </w:tr>
      <w:tr>
        <w:trPr>
          <w:cantSplit/>
        </w:trPr>
        <w:tc>
          <w:tcPr>
            <w:tcW w:type="dxa" w:w="320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凭据仍然泄露</w:t>
            </w:r>
          </w:p>
        </w:tc>
        <w:tc>
          <w:tcPr>
            <w:tcW w:type="dxa" w:w="136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404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写入DEBUG日志、放进返回值或标准输出</w:t>
            </w:r>
          </w:p>
        </w:tc>
      </w:tr>
      <w:tr>
        <w:trPr>
          <w:cantSplit/>
        </w:trPr>
        <w:tc>
          <w:tcPr>
            <w:tcW w:type="dxa" w:w="320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越界读取或访问禁止服务</w:t>
            </w:r>
          </w:p>
        </w:tc>
        <w:tc>
          <w:tcPr>
            <w:tcW w:type="dxa" w:w="136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404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包括跟随跳转把认证头发往禁止服务</w:t>
            </w:r>
          </w:p>
        </w:tc>
      </w:tr>
      <w:tr>
        <w:trPr>
          <w:cantSplit/>
        </w:trPr>
        <w:tc>
          <w:tcPr>
            <w:tcW w:type="dxa" w:w="320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一刀切拒绝</w:t>
            </w:r>
          </w:p>
        </w:tc>
        <w:tc>
          <w:tcPr>
            <w:tcW w:type="dxa" w:w="136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404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不再读取授权资料、不再完成授权认证</w:t>
            </w:r>
          </w:p>
        </w:tc>
      </w:tr>
      <w:tr>
        <w:trPr>
          <w:cantSplit/>
        </w:trPr>
        <w:tc>
          <w:tcPr>
            <w:tcW w:type="dxa" w:w="320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入口在攻击场景下崩溃</w:t>
            </w:r>
          </w:p>
        </w:tc>
        <w:tc>
          <w:tcPr>
            <w:tcW w:type="dxa" w:w="136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404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业务测试覆盖不到的输入导致异常</w:t>
            </w:r>
          </w:p>
        </w:tc>
      </w:tr>
    </w:tbl>
    <w:p>
      <w:pPr>
        <w:widowControl/>
        <w:spacing w:line="192" w:lineRule="auto" w:before="0" w:after="0"/>
        <w:ind w:firstLine="0"/>
      </w:pP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（一份补丁可能有多个原因。）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典型案例。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1. </w:t>
      </w:r>
      <w:r>
        <w:rPr>
          <w:rFonts w:ascii="宋体" w:hAnsi="宋体" w:eastAsia="宋体" w:cs="宋体"/>
          <w:b/>
          <w:color w:val="000000"/>
          <w:sz w:val="24"/>
        </w:rPr>
        <w:t>删掉日志，凭据却在返回值里。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一份AI补丁删除了日志中的凭据，在当时只有3项业务测试的规则下全部通过。CredProof随后新增“正常返回”和“跳转”两个场景，对同一份保存的补丁重新验收，发现它把凭据放在返回结果中，并会跟随服务器跳转访问禁止服务，判定不通过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2. </w:t>
      </w:r>
      <w:r>
        <w:rPr>
          <w:rFonts w:ascii="宋体" w:hAnsi="宋体" w:eastAsia="宋体" w:cs="宋体"/>
          <w:b/>
          <w:color w:val="000000"/>
          <w:sz w:val="24"/>
        </w:rPr>
        <w:t>早期规则漏掉的日志泄露。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另一份补丁曾在早期版本中通过验收；观测层加入DEBUG级日志捕获后，对保存的同一补丁复检，发现凭据被写入日志，判定不通过。这两个案例说明：结论与补丁版本绑定、材料可以重新执行，规则升级后就能对旧的“通过”重新把关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3. </w:t>
      </w:r>
      <w:r>
        <w:rPr>
          <w:rFonts w:ascii="宋体" w:hAnsi="宋体" w:eastAsia="宋体" w:cs="宋体"/>
          <w:b/>
          <w:color w:val="000000"/>
          <w:sz w:val="24"/>
        </w:rPr>
        <w:t>一刀切的假修复。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一份AI补丁的4项业务测试全部通过，没有泄密、没有越界，三种静态工具也都没有告警。但CredProof发现它根本没有读取允许的资料文件，也没有向允许服务完成认证，判定不通过。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4. </w:t>
      </w:r>
      <w:r>
        <w:rPr>
          <w:rFonts w:ascii="宋体" w:hAnsi="宋体" w:eastAsia="宋体" w:cs="宋体"/>
          <w:b/>
          <w:color w:val="000000"/>
          <w:sz w:val="24"/>
        </w:rPr>
        <w:t>外部项目上的越界读取。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在python-dotenv上，一份AI补丁业务测试全部通过，但仍读取禁止目录中的密钥文件并把凭据写进返回值；三种静态工具均无告警。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5. </w:t>
      </w:r>
      <w:r>
        <w:rPr>
          <w:rFonts w:ascii="宋体" w:hAnsi="宋体" w:eastAsia="宋体" w:cs="宋体"/>
          <w:b/>
          <w:color w:val="000000"/>
          <w:sz w:val="24"/>
        </w:rPr>
        <w:t>格式错误。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一份补丁把Markdown代码块标记写进了源码，导致语法错误、业务测试无法执行。CredProof判为证据不足，而不是通过。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结论。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真实AI补丁中“看起来修好了”的情况普遍存在：三分之一的补丁能让CI显示绿色，多数凭据泄露是静态工具看不到的。只有在隔离环境中实际运行、同时检查“不该做的”和“该做的”，才能可靠拦截。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3.3 实验二：开源项目python-dotenv——业务全绿不等于安全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在python-dotenv v1.2.2（BSD-3-Clause）[11]上人工注入一个越界读取缺陷，用四个版本对照：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6"/>
        <w:gridCol w:w="2334"/>
        <w:gridCol w:w="3637"/>
      </w:tblGrid>
      <w:tr>
        <w:trPr>
          <w:cantSplit/>
          <w:tblHeader/>
        </w:trPr>
        <w:tc>
          <w:tcPr>
            <w:tcW w:type="dxa" w:w="2646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版本</w:t>
            </w:r>
          </w:p>
        </w:tc>
        <w:tc>
          <w:tcPr>
            <w:tcW w:type="dxa" w:w="2334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业务测试</w:t>
            </w:r>
          </w:p>
        </w:tc>
        <w:tc>
          <w:tcPr>
            <w:tcW w:type="dxa" w:w="3637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CredProof判定</w:t>
            </w:r>
          </w:p>
        </w:tc>
      </w:tr>
      <w:tr>
        <w:trPr>
          <w:cantSplit/>
        </w:trPr>
        <w:tc>
          <w:tcPr>
            <w:tcW w:type="dxa" w:w="264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注入缺陷版</w:t>
            </w:r>
          </w:p>
        </w:tc>
        <w:tc>
          <w:tcPr>
            <w:tcW w:type="dxa" w:w="233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116通过、1失败</w:t>
            </w:r>
          </w:p>
        </w:tc>
        <w:tc>
          <w:tcPr>
            <w:tcW w:type="dxa" w:w="363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不通过</w:t>
            </w:r>
          </w:p>
        </w:tc>
      </w:tr>
      <w:tr>
        <w:trPr>
          <w:cantSplit/>
        </w:trPr>
        <w:tc>
          <w:tcPr>
            <w:tcW w:type="dxa" w:w="264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修复版</w:t>
            </w:r>
          </w:p>
        </w:tc>
        <w:tc>
          <w:tcPr>
            <w:tcW w:type="dxa" w:w="233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117项全部通过</w:t>
            </w:r>
          </w:p>
        </w:tc>
        <w:tc>
          <w:tcPr>
            <w:tcW w:type="dxa" w:w="363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通过</w:t>
            </w:r>
          </w:p>
        </w:tc>
      </w:tr>
      <w:tr>
        <w:trPr>
          <w:cantSplit/>
        </w:trPr>
        <w:tc>
          <w:tcPr>
            <w:tcW w:type="dxa" w:w="264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修复后重新引入缺陷</w:t>
            </w:r>
          </w:p>
        </w:tc>
        <w:tc>
          <w:tcPr>
            <w:tcW w:type="dxa" w:w="233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117项全部通过</w:t>
            </w:r>
          </w:p>
        </w:tc>
        <w:tc>
          <w:tcPr>
            <w:tcW w:type="dxa" w:w="363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不通过</w:t>
            </w: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（越界读取、凭据进入返回值）</w:t>
            </w:r>
          </w:p>
        </w:tc>
      </w:tr>
      <w:tr>
        <w:trPr>
          <w:cantSplit/>
        </w:trPr>
        <w:tc>
          <w:tcPr>
            <w:tcW w:type="dxa" w:w="264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无关修改</w:t>
            </w:r>
          </w:p>
        </w:tc>
        <w:tc>
          <w:tcPr>
            <w:tcW w:type="dxa" w:w="233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117项全部通过</w:t>
            </w:r>
          </w:p>
        </w:tc>
        <w:tc>
          <w:tcPr>
            <w:tcW w:type="dxa" w:w="3637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通过</w:t>
            </w:r>
          </w:p>
        </w:tc>
      </w:tr>
    </w:tbl>
    <w:p>
      <w:pPr>
        <w:widowControl/>
        <w:spacing w:line="192" w:lineRule="auto" w:before="0" w:after="0"/>
        <w:ind w:firstLine="0"/>
      </w:pP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第三行是最直接的证据：业务测试全部通过、CI显示绿色，但工具仍在读取授权目录之外的密钥文件，而三种静态工具对这个注入缺陷都没有告警。第四行说明CredProof不会因为代码出现无关变化而误报。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3.4 实验三：人机协同修复闭环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在资料助手上完整走通一次“AI候选→程序验收→开发者修订→重新验收→人工采纳→导出复检”：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768"/>
        <w:gridCol w:w="6849"/>
      </w:tblGrid>
      <w:tr>
        <w:trPr>
          <w:cantSplit/>
          <w:tblHeader/>
        </w:trPr>
        <w:tc>
          <w:tcPr>
            <w:tcW w:type="dxa" w:w="1768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步骤</w:t>
            </w:r>
          </w:p>
        </w:tc>
        <w:tc>
          <w:tcPr>
            <w:tcW w:type="dxa" w:w="6849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结果</w:t>
            </w:r>
          </w:p>
        </w:tc>
      </w:tr>
      <w:tr>
        <w:trPr>
          <w:cantSplit/>
        </w:trPr>
        <w:tc>
          <w:tcPr>
            <w:tcW w:type="dxa" w:w="176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AI候选</w:t>
            </w:r>
          </w:p>
        </w:tc>
        <w:tc>
          <w:tcPr>
            <w:tcW w:type="dxa" w:w="684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缺少导入并错误转换异常类型，4项业务测试仅1项通过，判定不通过</w:t>
            </w:r>
          </w:p>
        </w:tc>
      </w:tr>
      <w:tr>
        <w:trPr>
          <w:cantSplit/>
        </w:trPr>
        <w:tc>
          <w:tcPr>
            <w:tcW w:type="dxa" w:w="176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开发者修订</w:t>
            </w:r>
          </w:p>
        </w:tc>
        <w:tc>
          <w:tcPr>
            <w:tcW w:type="dxa" w:w="684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恢复导入，改用受控访问组件，保留真实文件读取、服务认证和异常约定</w:t>
            </w:r>
          </w:p>
        </w:tc>
      </w:tr>
      <w:tr>
        <w:trPr>
          <w:cantSplit/>
        </w:trPr>
        <w:tc>
          <w:tcPr>
            <w:tcW w:type="dxa" w:w="176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重新验收</w:t>
            </w:r>
          </w:p>
        </w:tc>
        <w:tc>
          <w:tcPr>
            <w:tcW w:type="dxa" w:w="684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4项业务测试全部执行并通过，0项跳过；14项必要条件全部满足；判定通过</w:t>
            </w:r>
          </w:p>
        </w:tc>
      </w:tr>
      <w:tr>
        <w:trPr>
          <w:cantSplit/>
        </w:trPr>
        <w:tc>
          <w:tcPr>
            <w:tcW w:type="dxa" w:w="176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人工状态</w:t>
            </w:r>
          </w:p>
        </w:tc>
        <w:tc>
          <w:tcPr>
            <w:tcW w:type="dxa" w:w="684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待人工决定，原仓库未被自动修改</w:t>
            </w:r>
          </w:p>
        </w:tc>
      </w:tr>
      <w:tr>
        <w:trPr>
          <w:cantSplit/>
        </w:trPr>
        <w:tc>
          <w:tcPr>
            <w:tcW w:type="dxa" w:w="176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审批约束测试</w:t>
            </w:r>
          </w:p>
        </w:tc>
        <w:tc>
          <w:tcPr>
            <w:tcW w:type="dxa" w:w="684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未通过的版本无法采纳；通过的版本可以拒绝；过期页面、错误版本被拒绝；代码、配置、组件或必要测试变化后，旧批准与采纳导出全部失效。共记录21次真实HTTP操作，其中11次不安全请求被后端拒绝</w:t>
            </w:r>
          </w:p>
        </w:tc>
      </w:tr>
      <w:tr>
        <w:trPr>
          <w:cantSplit/>
        </w:trPr>
        <w:tc>
          <w:tcPr>
            <w:tcW w:type="dxa" w:w="176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导出复检</w:t>
            </w:r>
          </w:p>
        </w:tc>
        <w:tc>
          <w:tcPr>
            <w:tcW w:type="dxa" w:w="684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导出17个文件，从代码仓库匿名取回后，在全新目录重新执行完整验收，判定通过</w:t>
            </w:r>
          </w:p>
        </w:tc>
      </w:tr>
      <w:tr>
        <w:trPr>
          <w:cantSplit/>
        </w:trPr>
        <w:tc>
          <w:tcPr>
            <w:tcW w:type="dxa" w:w="176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回归测试</w:t>
            </w:r>
          </w:p>
        </w:tc>
        <w:tc>
          <w:tcPr>
            <w:tcW w:type="dxa" w:w="684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导出的pytest回归测试在修复版、重新引入缺陷版、无关修改版上分别得到通过、不通过、通过</w:t>
            </w:r>
          </w:p>
        </w:tc>
      </w:tr>
    </w:tbl>
    <w:p>
      <w:pPr>
        <w:widowControl/>
        <w:spacing w:line="192" w:lineRule="auto" w:before="0" w:after="0"/>
        <w:ind w:firstLine="0"/>
      </w:pP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这一闭环说明：AI修不好时，人可以接手；人的修订同样必须通过程序验收，人的采纳决定同样受版本绑定约束。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3.5 实验四：失败反馈帮助AI改进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在历史合成案例h03中，AI的第一份补丁把凭据前缀替换成</w:t>
      </w:r>
      <w:r>
        <w:rPr>
          <w:rFonts w:ascii="宋体" w:hAnsi="宋体" w:eastAsia="宋体" w:cs="宋体"/>
          <w:b w:val="0"/>
          <w:color w:val="000000"/>
          <w:sz w:val="24"/>
        </w:rPr>
        <w:t>[REDACTED]</w:t>
      </w:r>
      <w:r>
        <w:rPr>
          <w:rFonts w:ascii="宋体" w:hAnsi="宋体" w:eastAsia="宋体" w:cs="宋体"/>
          <w:b w:val="0"/>
          <w:color w:val="000000"/>
          <w:sz w:val="24"/>
        </w:rPr>
        <w:t>，但真实值仍留在消息末尾，13项条件中2项不通过。CredProof把两条日志泄露反例反馈给模型后，第二份补丁改为输出固定的安全文本，13项条件全部通过。在8个留出案例的对照中，固定修复流程、一次性模型生成、带反馈的模型Agent对问题样例的合格修复分别为3/4、1/4、4/4。运行证据反馈能提升AI修复质量，但AI补丁仍需要独立验收把关。</w:t>
      </w:r>
    </w:p>
    <w:p>
      <w:pPr>
        <w:keepNext/>
        <w:widowControl/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72000" cy="16000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3-feed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600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0" w:after="120"/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图6 案例h03：第一份补丁表面脱敏但仍泄露，反馈后第二份补丁通过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3.6 性能与开销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4059"/>
        <w:gridCol w:w="4558"/>
      </w:tblGrid>
      <w:tr>
        <w:trPr>
          <w:cantSplit/>
          <w:tblHeader/>
        </w:trPr>
        <w:tc>
          <w:tcPr>
            <w:tcW w:type="dxa" w:w="4059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指标</w:t>
            </w:r>
          </w:p>
        </w:tc>
        <w:tc>
          <w:tcPr>
            <w:tcW w:type="dxa" w:w="4558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结果</w:t>
            </w:r>
          </w:p>
        </w:tc>
      </w:tr>
      <w:tr>
        <w:trPr>
          <w:cantSplit/>
        </w:trPr>
        <w:tc>
          <w:tcPr>
            <w:tcW w:type="dxa" w:w="405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单次完整验收耗时（45份真实验收报告，小型项目）</w:t>
            </w:r>
          </w:p>
        </w:tc>
        <w:tc>
          <w:tcPr>
            <w:tcW w:type="dxa" w:w="455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中位数1.6秒，90%在2.4秒以内，最长4.3秒</w:t>
            </w:r>
          </w:p>
        </w:tc>
      </w:tr>
      <w:tr>
        <w:trPr>
          <w:cantSplit/>
        </w:trPr>
        <w:tc>
          <w:tcPr>
            <w:tcW w:type="dxa" w:w="405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外部项目验收</w:t>
            </w:r>
          </w:p>
        </w:tc>
        <w:tc>
          <w:tcPr>
            <w:tcW w:type="dxa" w:w="455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python-dotenv 117项测试在单次隔离验收中完成</w:t>
            </w:r>
          </w:p>
        </w:tc>
      </w:tr>
      <w:tr>
        <w:trPr>
          <w:cantSplit/>
        </w:trPr>
        <w:tc>
          <w:tcPr>
            <w:tcW w:type="dxa" w:w="405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模型资源</w:t>
            </w:r>
          </w:p>
        </w:tc>
        <w:tc>
          <w:tcPr>
            <w:tcW w:type="dxa" w:w="455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32B量化模型，单张消费级显卡；查看、修订、审批与复检无需GPU</w:t>
            </w:r>
          </w:p>
        </w:tc>
      </w:tr>
      <w:tr>
        <w:trPr>
          <w:cantSplit/>
        </w:trPr>
        <w:tc>
          <w:tcPr>
            <w:tcW w:type="dxa" w:w="405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外部依赖</w:t>
            </w:r>
          </w:p>
        </w:tc>
        <w:tc>
          <w:tcPr>
            <w:tcW w:type="dxa" w:w="4558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不调用付费API；模型进程无外网连接</w:t>
            </w:r>
          </w:p>
        </w:tc>
      </w:tr>
    </w:tbl>
    <w:p>
      <w:pPr>
        <w:widowControl/>
        <w:spacing w:line="192" w:lineRule="auto" w:before="0" w:after="0"/>
        <w:ind w:firstLine="0"/>
      </w:pP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秒级的验收速度意味着CredProof可以作为每次提交、每份AI补丁的常规门禁，而不是事后的人工复测。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3.7 测试小结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1. 21份真实AI补丁无一被放行，已知正确的5个版本全部通过；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2. 三分之一的AI补丁能让业务测试全部通过，但全部存在安全或功能问题；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3. 10份实际泄露凭据的补丁，密钥扫描发现0份，静态分析凭据规则发现3份；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4. 规则升级后对保存补丁重新验收，发现了2份早期被放行的补丁的问题；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5. 人机协同闭环完整可用，验收为秒级，可以直接接入日常开发流程。</w:t>
      </w:r>
    </w:p>
    <w:p>
      <w:r>
        <w:br w:type="page"/>
      </w:r>
    </w:p>
    <w:p>
      <w:pPr>
        <w:pStyle w:val="2"/>
        <w:keepNext/>
        <w:spacing w:before="200" w:after="120" w:line="360" w:lineRule="auto"/>
        <w:ind w:firstLine="0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第四章 创新性说明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4.1 与现有方案的对比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509"/>
        <w:gridCol w:w="1122"/>
        <w:gridCol w:w="1122"/>
        <w:gridCol w:w="1316"/>
        <w:gridCol w:w="1484"/>
        <w:gridCol w:w="1065"/>
      </w:tblGrid>
      <w:tr>
        <w:trPr>
          <w:cantSplit/>
          <w:tblHeader/>
        </w:trPr>
        <w:tc>
          <w:tcPr>
            <w:tcW w:type="dxa" w:w="2509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能力</w:t>
            </w:r>
          </w:p>
        </w:tc>
        <w:tc>
          <w:tcPr>
            <w:tcW w:type="dxa" w:w="1122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密钥扫描</w:t>
            </w:r>
          </w:p>
        </w:tc>
        <w:tc>
          <w:tcPr>
            <w:tcW w:type="dxa" w:w="1122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静态分析</w:t>
            </w:r>
          </w:p>
        </w:tc>
        <w:tc>
          <w:tcPr>
            <w:tcW w:type="dxa" w:w="1316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单元测试/CI</w:t>
            </w:r>
          </w:p>
        </w:tc>
        <w:tc>
          <w:tcPr>
            <w:tcW w:type="dxa" w:w="1484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AI自动修复工具</w:t>
            </w:r>
          </w:p>
        </w:tc>
        <w:tc>
          <w:tcPr>
            <w:tcW w:type="dxa" w:w="1065"/>
            <w:vAlign w:val="center"/>
            <w:shd w:val="clear" w:fill="E7EEF0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本作品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发现运行时凭据泄露（返回值、日志、异常）</w:t>
            </w:r>
          </w:p>
        </w:tc>
        <w:tc>
          <w:tcPr>
            <w:tcW w:type="dxa" w:w="112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否</w:t>
            </w:r>
          </w:p>
        </w:tc>
        <w:tc>
          <w:tcPr>
            <w:tcW w:type="dxa" w:w="112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部分</w:t>
            </w:r>
          </w:p>
        </w:tc>
        <w:tc>
          <w:tcPr>
            <w:tcW w:type="dxa" w:w="131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否</w:t>
            </w:r>
          </w:p>
        </w:tc>
        <w:tc>
          <w:tcPr>
            <w:tcW w:type="dxa" w:w="148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部分</w:t>
            </w:r>
          </w:p>
        </w:tc>
        <w:tc>
          <w:tcPr>
            <w:tcW w:type="dxa" w:w="1065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是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发现越界读取与跟随跳转</w:t>
            </w:r>
          </w:p>
        </w:tc>
        <w:tc>
          <w:tcPr>
            <w:tcW w:type="dxa" w:w="112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否</w:t>
            </w:r>
          </w:p>
        </w:tc>
        <w:tc>
          <w:tcPr>
            <w:tcW w:type="dxa" w:w="112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部分</w:t>
            </w:r>
          </w:p>
        </w:tc>
        <w:tc>
          <w:tcPr>
            <w:tcW w:type="dxa" w:w="131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否</w:t>
            </w:r>
          </w:p>
        </w:tc>
        <w:tc>
          <w:tcPr>
            <w:tcW w:type="dxa" w:w="148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部分</w:t>
            </w:r>
          </w:p>
        </w:tc>
        <w:tc>
          <w:tcPr>
            <w:tcW w:type="dxa" w:w="1065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是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识别“一刀切”式假修复</w:t>
            </w:r>
          </w:p>
        </w:tc>
        <w:tc>
          <w:tcPr>
            <w:tcW w:type="dxa" w:w="112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否</w:t>
            </w:r>
          </w:p>
        </w:tc>
        <w:tc>
          <w:tcPr>
            <w:tcW w:type="dxa" w:w="112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否</w:t>
            </w:r>
          </w:p>
        </w:tc>
        <w:tc>
          <w:tcPr>
            <w:tcW w:type="dxa" w:w="131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部分</w:t>
            </w:r>
          </w:p>
        </w:tc>
        <w:tc>
          <w:tcPr>
            <w:tcW w:type="dxa" w:w="148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否</w:t>
            </w:r>
          </w:p>
        </w:tc>
        <w:tc>
          <w:tcPr>
            <w:tcW w:type="dxa" w:w="1065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是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同时确认业务行为保持</w:t>
            </w:r>
          </w:p>
        </w:tc>
        <w:tc>
          <w:tcPr>
            <w:tcW w:type="dxa" w:w="112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否</w:t>
            </w:r>
          </w:p>
        </w:tc>
        <w:tc>
          <w:tcPr>
            <w:tcW w:type="dxa" w:w="112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否</w:t>
            </w:r>
          </w:p>
        </w:tc>
        <w:tc>
          <w:tcPr>
            <w:tcW w:type="dxa" w:w="131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是</w:t>
            </w:r>
          </w:p>
        </w:tc>
        <w:tc>
          <w:tcPr>
            <w:tcW w:type="dxa" w:w="148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部分</w:t>
            </w:r>
          </w:p>
        </w:tc>
        <w:tc>
          <w:tcPr>
            <w:tcW w:type="dxa" w:w="1065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是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结论绑定代码版本、可导出复检</w:t>
            </w:r>
          </w:p>
        </w:tc>
        <w:tc>
          <w:tcPr>
            <w:tcW w:type="dxa" w:w="112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否</w:t>
            </w:r>
          </w:p>
        </w:tc>
        <w:tc>
          <w:tcPr>
            <w:tcW w:type="dxa" w:w="112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否</w:t>
            </w:r>
          </w:p>
        </w:tc>
        <w:tc>
          <w:tcPr>
            <w:tcW w:type="dxa" w:w="131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否</w:t>
            </w:r>
          </w:p>
        </w:tc>
        <w:tc>
          <w:tcPr>
            <w:tcW w:type="dxa" w:w="148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否</w:t>
            </w:r>
          </w:p>
        </w:tc>
        <w:tc>
          <w:tcPr>
            <w:tcW w:type="dxa" w:w="1065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是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AI不能自批，人工采纳与程序判定分离</w:t>
            </w:r>
          </w:p>
        </w:tc>
        <w:tc>
          <w:tcPr>
            <w:tcW w:type="dxa" w:w="112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不适用</w:t>
            </w:r>
          </w:p>
        </w:tc>
        <w:tc>
          <w:tcPr>
            <w:tcW w:type="dxa" w:w="112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不适用</w:t>
            </w:r>
          </w:p>
        </w:tc>
        <w:tc>
          <w:tcPr>
            <w:tcW w:type="dxa" w:w="131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不适用</w:t>
            </w:r>
          </w:p>
        </w:tc>
        <w:tc>
          <w:tcPr>
            <w:tcW w:type="dxa" w:w="148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否</w:t>
            </w:r>
          </w:p>
        </w:tc>
        <w:tc>
          <w:tcPr>
            <w:tcW w:type="dxa" w:w="1065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是</w:t>
            </w:r>
          </w:p>
        </w:tc>
      </w:tr>
      <w:tr>
        <w:trPr>
          <w:cantSplit/>
        </w:trPr>
        <w:tc>
          <w:tcPr>
            <w:tcW w:type="dxa" w:w="2509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本地运行，代码不出本机</w:t>
            </w:r>
          </w:p>
        </w:tc>
        <w:tc>
          <w:tcPr>
            <w:tcW w:type="dxa" w:w="112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是</w:t>
            </w:r>
          </w:p>
        </w:tc>
        <w:tc>
          <w:tcPr>
            <w:tcW w:type="dxa" w:w="1122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是</w:t>
            </w:r>
          </w:p>
        </w:tc>
        <w:tc>
          <w:tcPr>
            <w:tcW w:type="dxa" w:w="1316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是</w:t>
            </w:r>
          </w:p>
        </w:tc>
        <w:tc>
          <w:tcPr>
            <w:tcW w:type="dxa" w:w="1484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多为云端</w:t>
            </w:r>
          </w:p>
        </w:tc>
        <w:tc>
          <w:tcPr>
            <w:tcW w:type="dxa" w:w="1065"/>
            <w:vAlign w:val="center"/>
          </w:tcPr>
          <w:p>
            <w:pPr>
              <w:widowControl/>
              <w:spacing w:line="300" w:lineRule="auto" w:before="40" w:after="40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是</w:t>
            </w:r>
          </w:p>
        </w:tc>
      </w:tr>
    </w:tbl>
    <w:p>
      <w:pPr>
        <w:widowControl/>
        <w:spacing w:line="192" w:lineRule="auto" w:before="0" w:after="0"/>
        <w:ind w:firstLine="0"/>
      </w:pP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4.2 创新点一：面向AI补丁的“双向证据”验收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现有安全检查关注“有没有做坏事”。CredProof把“必须做了该做的事”（实际读取授权资料、实际完成授权认证）与“没有做不该做的事”同时作为补丁通过的必要条件，并用“证据不足”把“没有测到”与“确实安全”区分开。这一设计专门针对AI补丁的典型失败方式：一刀切拒绝、提前报错、表面脱敏。实验一中的一刀切补丁与语法错误补丁都因此被正确拦截，而静态工具对前者没有任何告警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4.3 创新点二：“AI提出、程序判定、人工采纳”的三权分离闭环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CredProof把修复过程中的三种权力分开：AI只有提出候选的权力；程序拥有判定权，规则和测试不能被AI或网页修改；人拥有采纳权，但不能推翻程序的不通过结论。开发者修订与AI候选进入同一条版本链、经过同一套验收。团队因此可以放心用AI提高修复效率，而不必把安全判断交给AI本身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4.4 创新点三：结论与版本强绑定的可复检交付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每份验收报告、每个审批决定、每个导出包都绑定到确切的代码、配置、测试与访问组件。代码变化后旧结论自动失效；重新验收不会恢复旧批准；复检时在新目录重新执行完整验收，而不是读取保存的“通过”。实验一中，规则升级后正是依靠这一机制，对保存的补丁重新把关，发现了早期被放行的2份补丁的问题。交付给他人的不是一句“已修复”，而是任何人都能重新验证的证据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4.5 创新点四：把安全写法沉淀为受控组件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受控访问组件把正确的路径校验与跳转处理固化为两个函数，访问策略由隔离环境在加载项目代码前一次性安装，AI与开发者只需正确调用。这降低了AI补丁的出错面，也让同一套安全规则可以在多个项目间复用。</w:t>
      </w:r>
    </w:p>
    <w:p>
      <w:r>
        <w:br w:type="page"/>
      </w:r>
    </w:p>
    <w:p>
      <w:pPr>
        <w:pStyle w:val="2"/>
        <w:keepNext/>
        <w:spacing w:before="200" w:after="120" w:line="360" w:lineRule="auto"/>
        <w:ind w:firstLine="0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第五章 总结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5.1 作品总结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密证CredProof回答了AI编程时代的一个关键问题：AI说“已修复”，凭什么相信。它以隔离环境中的运行证据替代AI自述，以双向证据判定识别表面修复和假修复，以版本绑定和复检保证结论可信、可交付，以三权分离闭环让AI、程序和人各司其职。在21份真实AI补丁、开源项目python-dotenv和完整人机协同流程上的测试表明，CredProof能够发现业务测试和静态工具普遍漏掉的问题，没有误报，且验收速度足以作为日常开发门禁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5.2 适用范围与局限</w:t>
      </w:r>
    </w:p>
    <w:p>
      <w:pPr>
        <w:widowControl/>
        <w:spacing w:line="360" w:lineRule="auto" w:before="0" w:after="60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当前版本支持已适配的Python工具，每个项目配置一个授权目录、一个禁止目录和一个本地授权服务；隔离验收依赖Windows与WSL环境；观测基于Python运行时审计，尚未覆盖原生系统调用、子进程与竞态条件。所有测试使用合成凭据与本地模拟服务。验收报告中的摘要用于识别材料变化，不等同于第三方认证或数字签名。本地模型独立修复的成功率仍然有限，这正是平台采用“AI提出、程序判定、人工采纳”设计的原因。</w:t>
      </w:r>
    </w:p>
    <w:p>
      <w:pPr>
        <w:pStyle w:val="Heading2"/>
        <w:keepNext/>
        <w:spacing w:before="160" w:after="8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5.3 后续计划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1. </w:t>
      </w:r>
      <w:r>
        <w:rPr>
          <w:rFonts w:ascii="宋体" w:hAnsi="宋体" w:eastAsia="宋体" w:cs="宋体"/>
          <w:b/>
          <w:color w:val="000000"/>
          <w:sz w:val="24"/>
        </w:rPr>
        <w:t>能力扩展：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支持多个授权目录和服务、子进程观测，扩展到JavaScript/TypeScript与Go；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2. </w:t>
      </w:r>
      <w:r>
        <w:rPr>
          <w:rFonts w:ascii="宋体" w:hAnsi="宋体" w:eastAsia="宋体" w:cs="宋体"/>
          <w:b/>
          <w:color w:val="000000"/>
          <w:sz w:val="24"/>
        </w:rPr>
        <w:t>产品化：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提供GitHub/GitLab合并门禁插件，支持Linux原生隔离环境与容器部署；</w:t>
      </w:r>
    </w:p>
    <w:p>
      <w:pPr>
        <w:widowControl/>
        <w:spacing w:line="360" w:lineRule="auto" w:before="0" w:after="60"/>
        <w:ind w:left="480" w:hanging="36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 xml:space="preserve">3. </w:t>
      </w:r>
      <w:r>
        <w:rPr>
          <w:rFonts w:ascii="宋体" w:hAnsi="宋体" w:eastAsia="宋体" w:cs="宋体"/>
          <w:b/>
          <w:color w:val="000000"/>
          <w:sz w:val="24"/>
        </w:rPr>
        <w:t>生态合作：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面向AI编程工具与大模型厂商开放补丁验收评测基准，为AI生成代码安全提供统一度量。</w:t>
      </w:r>
    </w:p>
    <w:p>
      <w:r>
        <w:br w:type="page"/>
      </w:r>
    </w:p>
    <w:p>
      <w:pPr>
        <w:pStyle w:val="2"/>
        <w:keepNext/>
        <w:spacing w:before="200" w:after="120" w:line="360" w:lineRule="auto"/>
        <w:ind w:firstLine="0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参考文献</w:t>
      </w:r>
    </w:p>
    <w:p>
      <w:pPr>
        <w:widowControl/>
        <w:spacing w:line="360" w:lineRule="auto" w:before="0" w:after="60"/>
        <w:ind w:left="480" w:hanging="48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[1] GitGuardian. The State of Secrets Sprawl 2026: AI-Service Leaks Surge 81% and 29M Secrets Hit Public GitHub[EB/OL]. (2026-03)[2026-10-12]. https://dev.to/gitguardian/the-state-of-secrets-sprawl-2026-ai-service-leaks-surge-81-and-29m-secrets-hit-public-github-2bgj.</w:t>
      </w:r>
    </w:p>
    <w:p>
      <w:pPr>
        <w:widowControl/>
        <w:spacing w:line="360" w:lineRule="auto" w:before="0" w:after="60"/>
        <w:ind w:left="480" w:hanging="48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[2] Veracode. AI-Generated Code Poses Major Security Risks in Nearly Half of All Development Tasks, Veracode Research Reveals[EB/OL]. (2025-07-30)[2026-10-12]. https://www.veracode.com/press-release/ai-generated-code-poses-major-security-risks-in-nearly-half-of-all-development-tasks-veracode-research-reveals/.</w:t>
      </w:r>
    </w:p>
    <w:p>
      <w:pPr>
        <w:widowControl/>
        <w:spacing w:line="360" w:lineRule="auto" w:before="0" w:after="60"/>
        <w:ind w:left="480" w:hanging="48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[3] Stack Overflow. Stack Overflow's 2025 Developer Survey Reveals Trust in AI at an All Time Low[EB/OL]. (2025-07-29)[2026-10-12]. https://stackoverflow.co/company/press/archive/stack-overflow-2025-developer-survey/.</w:t>
      </w:r>
    </w:p>
    <w:p>
      <w:pPr>
        <w:widowControl/>
        <w:spacing w:line="360" w:lineRule="auto" w:before="0" w:after="60"/>
        <w:ind w:left="480" w:hanging="48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[4] IBM. Cost of a Data Breach Report 2025[R/OL]. 2025[2026-10-12]. https://www.ibm.com/reports/data-breach.</w:t>
      </w:r>
    </w:p>
    <w:p>
      <w:pPr>
        <w:widowControl/>
        <w:spacing w:line="360" w:lineRule="auto" w:before="0" w:after="60"/>
        <w:ind w:left="480" w:hanging="48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[5] IDC. AI Coding市场迎来爆发期，IDC发布中国市场代码生成产品评估[EB/OL]. (2025-06-03)[2026-10-12]. https://www.idc.com/?p=104455.</w:t>
      </w:r>
    </w:p>
    <w:p>
      <w:pPr>
        <w:widowControl/>
        <w:spacing w:line="360" w:lineRule="auto" w:before="0" w:after="60"/>
        <w:ind w:left="480" w:hanging="48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[6] 新华社. 引导AI发展！网络安全法完成修改[EB/OL]. (2025-10-28)[2026-10-12]. https://www.news.cn/politics/20251028/b3400522666a4b3f8c844b9fa6c31131/c.html.</w:t>
      </w:r>
    </w:p>
    <w:p>
      <w:pPr>
        <w:widowControl/>
        <w:spacing w:line="360" w:lineRule="auto" w:before="0" w:after="60"/>
        <w:ind w:left="480" w:hanging="48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[7] PEARCE H, AHMAD B, TAN B, et al. Asleep at the Keyboard? Assessing the Security of GitHub Copilot's Code Contributions[C]//2022 IEEE Symposium on Security and Privacy (SP). San Francisco: IEEE, 2022: 754-768.</w:t>
      </w:r>
    </w:p>
    <w:p>
      <w:pPr>
        <w:widowControl/>
        <w:spacing w:line="360" w:lineRule="auto" w:before="0" w:after="60"/>
        <w:ind w:left="480" w:hanging="48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[8] HUI B, YANG J, CUI Z, et al. Qwen2.5-Coder Technical Report[EB/OL]. (2024-09-18)[2026-10-12]. https://arxiv.org/abs/2409.12186.</w:t>
      </w:r>
    </w:p>
    <w:p>
      <w:pPr>
        <w:widowControl/>
        <w:spacing w:line="360" w:lineRule="auto" w:before="0" w:after="60"/>
        <w:ind w:left="480" w:hanging="48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[9] DOWER S, HEIMES C. PEP 578 – Python Runtime Audit Hooks[EB/OL]. (2018)[2026-10-12]. https://peps.python.org/pep-0578/.</w:t>
      </w:r>
    </w:p>
    <w:p>
      <w:pPr>
        <w:widowControl/>
        <w:spacing w:line="360" w:lineRule="auto" w:before="0" w:after="60"/>
        <w:ind w:left="480" w:hanging="48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[10] Containers. Bubblewrap: Low-level unprivileged sandboxing tool[CP/OL]. [2026-10-12]. https://github.com/containers/bubblewrap.</w:t>
      </w:r>
    </w:p>
    <w:p>
      <w:pPr>
        <w:widowControl/>
        <w:spacing w:line="360" w:lineRule="auto" w:before="0" w:after="60"/>
        <w:ind w:left="480" w:hanging="48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[11] KUMAR S. python-dotenv v1.2.2[CP/OL]. BSD-3-Clause. [2026-10-12]. https://github.com/theskumar/python-dotenv.</w:t>
      </w:r>
    </w:p>
    <w:p>
      <w:pPr>
        <w:widowControl/>
        <w:spacing w:line="360" w:lineRule="auto" w:before="0" w:after="60"/>
        <w:ind w:left="480" w:hanging="48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[12] Gitleaks; PyCQA Bandit; Semgrep Community Rules[CP/OL]. [2026-10-12]. https://github.com/gitleaks/gitleaks; https://github.com/PyCQA/bandit; https://github.com/semgrep/semgrep-rules.</w:t>
      </w:r>
    </w:p>
    <w:sectPr>
      <w:footerReference w:type="default" r:id="rId7"/>
      <w:pgSz w:w="11906" w:h="16838"/>
      <w:pgMar w:top="1440" w:right="1466" w:bottom="1440" w:left="16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8196A">
    <w:pPr>
      <w:pStyle w:val="3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08DF9D37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2D4FAB">
    <w:pPr>
      <w:pStyle w:val="3"/>
      <w:jc w:val="center"/>
    </w:pPr>
    <w:r>
      <w:rPr>
        <w:rFonts w:hint="eastAsia"/>
        <w:szCs w:val="21"/>
      </w:rPr>
      <w:t xml:space="preserve">第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6</w:t>
    </w:r>
    <w:r>
      <w:rPr>
        <w:szCs w:val="21"/>
      </w:rPr>
      <w:fldChar w:fldCharType="end"/>
    </w:r>
    <w:r>
      <w:rPr>
        <w:rFonts w:hint="eastAsia"/>
        <w:szCs w:val="21"/>
      </w:rPr>
      <w:t xml:space="preserve"> 页 共 7页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line="360" w:lineRule="auto" w:before="0" w:after="60"/>
      <w:ind w:firstLine="0"/>
      <w:jc w:val="center"/>
    </w:pPr>
    <w:r>
      <w:rPr>
        <w:rFonts w:ascii="宋体" w:hAnsi="宋体" w:eastAsia="宋体" w:cs="宋体"/>
        <w:b w:val="0"/>
        <w:color w:val="000000"/>
        <w:sz w:val="24"/>
      </w:rPr>
      <w:t xml:space="preserve">第 </w:t>
    </w:r>
    <w:r>
      <w:rPr>
        <w:rFonts w:ascii="宋体" w:hAnsi="宋体" w:eastAsia="宋体" w:cs="宋体"/>
        <w:color w:val="000000"/>
        <w:sz w:val="24"/>
      </w:rPr>
      <w:fldChar w:fldCharType="begin"/>
    </w:r>
    <w:r>
      <w:rPr>
        <w:rFonts w:ascii="宋体" w:hAnsi="宋体" w:eastAsia="宋体" w:cs="宋体"/>
        <w:color w:val="000000"/>
        <w:sz w:val="24"/>
      </w:rPr>
      <w:instrText xml:space="preserve"> PAGE </w:instrText>
    </w:r>
    <w:r>
      <w:rPr>
        <w:rFonts w:ascii="宋体" w:hAnsi="宋体" w:eastAsia="宋体" w:cs="宋体"/>
        <w:color w:val="000000"/>
        <w:sz w:val="24"/>
      </w:rPr>
      <w:fldChar w:fldCharType="end"/>
    </w:r>
    <w:r>
      <w:rPr>
        <w:rFonts w:ascii="宋体" w:hAnsi="宋体" w:eastAsia="宋体" w:cs="宋体"/>
        <w:b w:val="0"/>
        <w:color w:val="000000"/>
        <w:sz w:val="24"/>
      </w:rPr>
      <w:t xml:space="preserve"> 页 共 </w:t>
    </w:r>
    <w:r>
      <w:rPr>
        <w:rFonts w:ascii="宋体" w:hAnsi="宋体" w:eastAsia="宋体" w:cs="宋体"/>
        <w:color w:val="000000"/>
        <w:sz w:val="24"/>
      </w:rPr>
      <w:fldChar w:fldCharType="begin"/>
    </w:r>
    <w:r>
      <w:rPr>
        <w:rFonts w:ascii="宋体" w:hAnsi="宋体" w:eastAsia="宋体" w:cs="宋体"/>
        <w:color w:val="000000"/>
        <w:sz w:val="24"/>
      </w:rPr>
      <w:instrText xml:space="preserve"> NUMPAGES </w:instrText>
    </w:r>
    <w:r>
      <w:rPr>
        <w:rFonts w:ascii="宋体" w:hAnsi="宋体" w:eastAsia="宋体" w:cs="宋体"/>
        <w:color w:val="000000"/>
        <w:sz w:val="24"/>
      </w:rPr>
      <w:fldChar w:fldCharType="end"/>
    </w:r>
    <w:r>
      <w:rPr>
        <w:rFonts w:ascii="宋体" w:hAnsi="宋体" w:eastAsia="宋体" w:cs="宋体"/>
        <w:b w:val="0"/>
        <w:color w:val="000000"/>
        <w:sz w:val="24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GNlYTNjYzhkOWI3ZTcwMWJiOTE2ZjU4NjBhNGZhZjQifQ=="/>
  </w:docVars>
  <w:rsids>
    <w:rsidRoot w:val="00000000"/>
    <w:rsid w:val="34871393"/>
    <w:rsid w:val="528E70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toc 1"/>
    <w:basedOn w:val="1"/>
    <w:next w:val="1"/>
    <w:qFormat/>
    <w:uiPriority w:val="39"/>
    <w:pPr>
      <w:spacing w:line="360" w:lineRule="auto"/>
    </w:pPr>
    <w:rPr>
      <w:rFonts w:ascii="宋体" w:hAnsi="宋体" w:eastAsia="宋体" w:cs="宋体"/>
      <w:sz w:val="24"/>
    </w:rPr>
  </w:style>
  <w:style w:type="character" w:styleId="7">
    <w:name w:val="page number"/>
    <w:basedOn w:val="6"/>
    <w:qFormat/>
    <w:uiPriority w:val="0"/>
  </w:style>
  <w:style w:type="character" w:styleId="8">
    <w:name w:val="Hyperlink"/>
    <w:qFormat/>
    <w:uiPriority w:val="99"/>
    <w:rPr>
      <w:color w:val="000066"/>
      <w:u w:val="none"/>
    </w:rPr>
  </w:style>
  <w:style w:type="paragraph" w:customStyle="1" w:styleId="Heading2">
    <w:name w:val="heading 2"/>
    <w:basedOn w:val="1"/>
    <w:pPr>
      <w:outlineLvl w:val="1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footer" Target="footer3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/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2023-05-19T13:50:44Z</dcterms:created>
  <dc:creator/>
  <cp:lastModifiedBy/>
  <dcterms:modified xsi:type="dcterms:W3CDTF">2026-09-29T13:48:56Z</dcterms:modified>
  <dc:title>密证 CredProof——AI生成安全补丁的可信验收与人机协同修复平台</dc:title>
  <dc:subject>中国研究生网络安全创新大赛 创意作品赛</dc:subject>
  <dc:description/>
  <cp:keywords>AI生成代码 安全补丁验收 凭据泄露 人机协同 可复检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2052-12.1.0.28485</vt:lpwstr>
  </property>
  <property fmtid="{D5CDD505-2E9C-101B-9397-08002B2CF9AE}" pid="3" name="ICV">
    <vt:lpwstr>2EBB9F5C0C2D4FAD979E1246603578CE_13</vt:lpwstr>
  </property>
</Properties>
</file>