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3696F8E6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21A9CA51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_Toc16794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_Toc16794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0EED121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_Toc16040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_Toc16040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E4FADD8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_Toc8323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_Toc8323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C674683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_Toc31439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_Toc31439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81F51B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_Toc2945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_Toc2945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9802CD0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_Toc23833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_Toc23833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2C55ECAA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_Toc30199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_Toc30199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909E84E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4196CDCA">
      <w:pPr>
        <w:pStyle w:val="2"/>
        <w:keepNext/>
        <w:spacing w:before="160" w:after="100" w:line="360" w:lineRule="auto"/>
        <w:ind w:firstLine="0"/>
        <w:jc w:val="center"/>
      </w:pPr>
      <w:bookmarkStart w:id="0" w:name="_Toc16794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3A49CA2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 CredProof 面向 AI 工具中的运行时凭据泄露，结合本地大模型补丁生成与程序控制的安全验收，给出候选修复并检查泄露是否消除、必要业务行为是否保持，支持材料导出与复检。系统围绕证据驱动的候选生成与反馈调整、程序控制的修改权限与安全/业务验收、对应修复对象的材料导出与复检三个特点，形成从运行观察到候选验证的完整流程。模型提出假设与补丁，程序依据当前对象的实际证据授权，在隔离环境中检查凭据通道和功能，再由执行器确认任务状态。单页工作台展示原代码、差异、失败反馈与验收结果。同一冻结轮次八个合成案例中，反馈 Agent 完成四个问题例的合格修复，四个正常例均未被实际修改；最终对象通过八例，完整任务六例。代表案例保存了失败补丁经真实反馈修正的过程。作品已形成可运行和可复检的原型，为小型授权 Python 工具提供有依据的修复辅助。</w:t>
      </w:r>
    </w:p>
    <w:p w14:paraId="114E0526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关键词：运行时凭据；本地智能体；受控修复；证据绑定；材料复检</w:t>
      </w:r>
    </w:p>
    <w:p w14:paraId="08EAA5C8">
      <w:r>
        <w:br w:type="page"/>
      </w:r>
    </w:p>
    <w:p w14:paraId="7B01A69C">
      <w:pPr>
        <w:pStyle w:val="2"/>
        <w:keepNext/>
        <w:spacing w:before="160" w:after="100" w:line="360" w:lineRule="auto"/>
        <w:ind w:firstLine="0"/>
        <w:jc w:val="center"/>
      </w:pPr>
      <w:bookmarkStart w:id="1" w:name="_Toc16040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21A3608E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29ECE42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结合本地大模型补丁生成与程序控制的安全验收，针对凭据泄露问题给出候选修复，并检查泄露是否消除、必要业务行为是否保持，支持材料导出与复检。密证把这一流程组织为可操作的单页工作台：使用者能够查看泄露依据、候选差异、验证回执和当前任务状态，形成可追溯的修复材料。</w:t>
      </w:r>
    </w:p>
    <w:p w14:paraId="08BADE2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小型 AI 工具常从环境变量读取凭据。源码即使没有硬编码密钥，执行时仍可能经辅助函数日志、异常细节或嵌套返回暴露真实值。修复这类问题需要识别具体传播路径，同时保留正常认证、成功响应和异常处理。密证让模型承担假设与补丁生成，让固定程序承担修改授权和验收，两者协作完成有证据的修复辅助。</w:t>
      </w:r>
    </w:p>
    <w:p w14:paraId="0FA47C2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5E091A8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证据驱动的候选生成与反馈调整。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模型依据代码和脱敏观察提出补丁，真实验证反馈支持后续调整。</w:t>
      </w:r>
    </w:p>
    <w:p w14:paraId="0DD8D5B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程序控制的修改权限与安全/业务验收。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当前有效证据授权修改，候选需同时满足安全与业务条件，任务状态独立确认。</w:t>
      </w:r>
    </w:p>
    <w:p w14:paraId="5D9617F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对应修复对象的材料导出与复检。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导出原件、候选、需求规则及记录，重读材料并重新检查当前对象。</w:t>
      </w:r>
    </w:p>
    <w:p w14:paraId="158A51B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2A99C71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作品适用于教学实验、团队自有认证工具及内部授权组件。开发者可以定位泄露通道、比较候选差异，把对应材料交给他人复检；正常工具经验证后保持原样。</w:t>
      </w:r>
    </w:p>
    <w:p w14:paraId="17E5BF3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Ollama[1–3]。项目实现受限工具、证据授权、完成控制、裁判与案例、过程记录、材料复检和工作台，组织运行证据、生成式候选与确定性验收协同工作。</w:t>
      </w:r>
    </w:p>
    <w:p w14:paraId="548CEADF">
      <w:pPr>
        <w:pStyle w:val="2"/>
        <w:keepNext/>
        <w:spacing w:before="160" w:after="100" w:line="360" w:lineRule="auto"/>
        <w:ind w:firstLine="0"/>
        <w:jc w:val="center"/>
      </w:pPr>
      <w:bookmarkStart w:id="2" w:name="_Toc8323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03CD6B91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6F959A3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选择案例后固定代码、需求和规则，在成功、拒绝、服务异常三个公开条件下形成初始证据。模型可读取代码、选择触发条件、取得证据、提交候选和请求验证。</w:t>
      </w:r>
    </w:p>
    <w:p w14:paraId="139414B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候选只写入副本。程序核对权限，隔离执行器采集行为，裁判检查安全与功能，再依据必要条件确认任务状态。工作台展示原代码、候选、模型原文、证据与差异，现场推理和历史回放具有独立标识。</w:t>
      </w:r>
    </w:p>
    <w:p w14:paraId="1C30DBE4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8913B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0AD56CB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1411EFA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原合成任务的被测工具实现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64757C6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252B4C8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原始值保留在执行侧，模型只见脱敏观察与失败类别。受控运行接收结构化请求和认证条件，原合成任务完整验收对所有候选采用相同的 13 项条件。外部组件按预先固定的独立接口条件验收，单独记录，不并入原批次。</w:t>
      </w:r>
    </w:p>
    <w:p w14:paraId="2EA0467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1AD8D1B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415E672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0552DB6B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0181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真实工作台中的证据与独立任务状态</w:t>
      </w:r>
    </w:p>
    <w:p w14:paraId="1EA03A5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24B7053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27C54DB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07A491B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1EE08056">
      <w:pPr>
        <w:pStyle w:val="2"/>
        <w:keepNext/>
        <w:spacing w:before="160" w:after="100" w:line="360" w:lineRule="auto"/>
        <w:ind w:firstLine="0"/>
        <w:jc w:val="center"/>
      </w:pPr>
      <w:bookmarkStart w:id="3" w:name="_Toc31439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0EE007C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7098750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7F9B606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6C069C7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417"/>
        <w:gridCol w:w="1417"/>
        <w:gridCol w:w="1417"/>
        <w:gridCol w:w="1417"/>
        <w:gridCol w:w="1417"/>
      </w:tblGrid>
      <w:tr w14:paraId="44B5DD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3418446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3A4EB98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0879ED4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6013A00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42D2109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4A3D4DD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34076D3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72E532C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1F36500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169EE62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3E49E9E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11A32CB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1317B32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001991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1B10E79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1CF8E64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4D370F5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6BF5AFF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6041A83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312A546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4C718B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342DAD80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62770CBE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17BD6122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37698D8F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2D164B78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577F7CD2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38109A0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77D8DC1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2450EBE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59E9CA3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未覆盖该参数日志传播，B 的候选仅有空白差异；两者仍有泄露。C 调整日志内容并保留认证实参，最终通过安全与业务检查。这一案例展示模型在既有固定启发式之外给出有效候选的作用。</w:t>
      </w:r>
    </w:p>
    <w:p w14:paraId="689874E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301C61B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0D44E11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59E6CD87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D871A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3 h03 两次候选与真实验证反馈 历史记录回放</w:t>
      </w:r>
    </w:p>
    <w:p w14:paraId="2E26C13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147BCCF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3240818E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1EFFD35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50471C2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006937E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4BCF982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外部开源组件接入</w:t>
      </w:r>
    </w:p>
    <w:p w14:paraId="48A3960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为检验旧样例之外的接入可行性，本版选取 Twine 配置读取组件的公开历史问题 [6]。PR #1240 记录了解析格式错误配置时，未处理异常可能将敏感内容带到控制台。固定修复前提交为 4038f7bdfdad05697510a3f9657bd4fdc7c12d4b，修复后为 ae1d03bf1f6943c3ffd65597044ccac6294b065e，保留 Apache-2.0 许可及源码。这是真实历史问题，不是人工注入；仅接入配置文件分支，不执行上传或公网认证。</w:t>
      </w:r>
    </w:p>
    <w:p w14:paraId="40C7036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适配器逐字保留原配置解析及必要错误处理函数，只允许新增一个受限配置异常转换分支，原业务 AST 不可改变。七项预定条件包含三类错误配置、两类正常配置、缺仓库和缺文件。原版在三类错误配置下输出合成凭据，其他四项通过；上游修复版七项通过。固定程序先提供脱敏证据，随后进行一次本地模型任务，5 次调用、3 份候选：前两份超出修改边界被拒绝，第三份通过七项检查并完成任务。拒绝属于修改权限检查，与 h03 已执行补丁的动态泄露失败不同。</w:t>
      </w:r>
    </w:p>
    <w:p w14:paraId="0DED5C0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新目录复检确认材料完整、旧报告适用、当前对象通过。该结果说明保留上游业务组件的一种窄适配可行；修改轮廓预先受限，不代表任意项目接入或模型全面自主修复。一个外部场景的七项条件不作为七个新增案例，不与前述八例合并统计。</w:t>
      </w:r>
    </w:p>
    <w:p w14:paraId="26244066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8CC0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4 当前对象的实际复检记录 不调用模型</w:t>
      </w:r>
    </w:p>
    <w:p w14:paraId="0CFCBB38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3.8 分层交付与演示</w:t>
      </w:r>
    </w:p>
    <w:p w14:paraId="0FE7734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查看作品入口仅需普通 Python，读取真实回放，不检查或启动模型；重新验收入口需要既有隔离设施但不调用模型；现场修复入口才需要完整本地推理环境。缺少隔离不降级到宿主执行。三种入口共享当前作品界面，现场失败不会由历史成功结果替换。</w:t>
      </w:r>
    </w:p>
    <w:p w14:paraId="765241C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本版在同机新源码目录、新 Python 环境中验证启动、历史查看、实际复检与导出，并生成约三分钟及一分钟字幕实录剪辑。前三例明确标为历史回放，复检段包含新的程序执行及对象摘要。同机验证复用了已准备的 WSL 隔离 runtime，不作为跨机器部署验证。</w:t>
      </w:r>
    </w:p>
    <w:p w14:paraId="34026CE1">
      <w:pPr>
        <w:pStyle w:val="2"/>
        <w:keepNext/>
        <w:spacing w:before="160" w:after="100" w:line="360" w:lineRule="auto"/>
        <w:ind w:firstLine="0"/>
        <w:jc w:val="center"/>
      </w:pPr>
      <w:bookmarkStart w:id="4" w:name="_Toc2945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067944FE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2AFC898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围绕运行时凭据的具体传播路径，把代码、触发条件和脱敏观察组织为模型可使用的反馈。模型能够为参数日志等结构提出候选，验收失败则返回实际问题。h01 和 h03 分别给出了有效候选与失败后调整的可核查实例。</w:t>
      </w:r>
    </w:p>
    <w:p w14:paraId="317CC8A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386C983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是否有权修改、当前候选是否合格、任务是否完成交给固定程序判定。允许认证通道与禁止泄露通道分别检查，安全检查与业务条件共同验收。模型的判断可以保留和审查，而候选落地有明确依据，正常代码可以经过验证后保持原样。</w:t>
      </w:r>
    </w:p>
    <w:p w14:paraId="06287EC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3D3DF13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代码对象、需求规则、模型过程和验收回执组织为对应材料。导出前后检查对象变化，复检重新执行固定条件，并区分历史材料完整性、旧报告适用性和当前判决。使用者可以从页面结论回到证据，也可以在不调用模型的情况下复查交付对象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7A22C0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742E1BE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特点对应实现</w:t>
            </w:r>
          </w:p>
        </w:tc>
        <w:tc>
          <w:tcPr>
            <w:tcW w:w="3798" w:type="dxa"/>
            <w:vAlign w:val="center"/>
          </w:tcPr>
          <w:p w14:paraId="3A61669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关键代码</w:t>
            </w:r>
          </w:p>
        </w:tc>
        <w:tc>
          <w:tcPr>
            <w:tcW w:w="2891" w:type="dxa"/>
            <w:vAlign w:val="center"/>
          </w:tcPr>
          <w:p w14:paraId="68E49C2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依据</w:t>
            </w:r>
          </w:p>
        </w:tc>
      </w:tr>
      <w:tr w14:paraId="5507BC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E46894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证据与反馈</w:t>
            </w:r>
          </w:p>
        </w:tc>
        <w:tc>
          <w:tcPr>
            <w:tcW w:w="3798" w:type="dxa"/>
            <w:vAlign w:val="center"/>
          </w:tcPr>
          <w:p w14:paraId="08C670E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reliability.GovernedSession；model_client.LocalAgentClient</w:t>
            </w:r>
          </w:p>
        </w:tc>
        <w:tc>
          <w:tcPr>
            <w:tcW w:w="2891" w:type="dxa"/>
            <w:vAlign w:val="center"/>
          </w:tcPr>
          <w:p w14:paraId="40849C4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h01 有限候选增量；h03 真实反馈调整</w:t>
            </w:r>
          </w:p>
        </w:tc>
      </w:tr>
      <w:tr w14:paraId="514731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8423E8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程序控制验收</w:t>
            </w:r>
          </w:p>
        </w:tc>
        <w:tc>
          <w:tcPr>
            <w:tcW w:w="3798" w:type="dxa"/>
            <w:vAlign w:val="center"/>
          </w:tcPr>
          <w:p w14:paraId="014AC47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judge.judge_trial；isolation.run_isolated；external_twine.boundary</w:t>
            </w:r>
          </w:p>
        </w:tc>
        <w:tc>
          <w:tcPr>
            <w:tcW w:w="2891" w:type="dxa"/>
            <w:vAlign w:val="center"/>
          </w:tcPr>
          <w:p w14:paraId="461B51E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h07 正常保留；Twine 越界候选被拒绝</w:t>
            </w:r>
          </w:p>
        </w:tc>
      </w:tr>
      <w:tr w14:paraId="6ED83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2AD28A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对象材料复检</w:t>
            </w:r>
          </w:p>
        </w:tc>
        <w:tc>
          <w:tcPr>
            <w:tcW w:w="3798" w:type="dxa"/>
            <w:vAlign w:val="center"/>
          </w:tcPr>
          <w:p w14:paraId="2B526FA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web._require_current_material；bundle.recheck_bundle</w:t>
            </w:r>
          </w:p>
        </w:tc>
        <w:tc>
          <w:tcPr>
            <w:tcW w:w="2891" w:type="dxa"/>
            <w:vAlign w:val="center"/>
          </w:tcPr>
          <w:p w14:paraId="3361AE8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导出绑定回归；当前对象的新复检</w:t>
            </w:r>
          </w:p>
        </w:tc>
      </w:tr>
    </w:tbl>
    <w:p w14:paraId="6EFB831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项目的工程增量在于将有既有来源的模型、框架、测试、摘要和隔离技术，组织成可操作、可解释、可复检的安全修复流程。</w:t>
      </w:r>
    </w:p>
    <w:p w14:paraId="59B02FFA">
      <w:pPr>
        <w:pStyle w:val="2"/>
        <w:keepNext/>
        <w:spacing w:before="160" w:after="100" w:line="360" w:lineRule="auto"/>
        <w:ind w:firstLine="0"/>
        <w:jc w:val="center"/>
      </w:pPr>
      <w:bookmarkStart w:id="5" w:name="_Toc23833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42F0D6A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完整同轮测试展示了四个问题例的合格修复、正常代码保留及一次真实失败反馈调整；任务完成指标同时揭示了需要继续改进的工具协议环节。工作台把这些过程和结果连到具体对象，为开发者提供可检查的修复辅助。</w:t>
      </w:r>
    </w:p>
    <w:p w14:paraId="4C25D18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后续优先提升协议稳定性和展示体验，增加授权组件适配，邀请不同作者扩展代码结构与业务条件。新增评估独立冻结、与已知回归分开统计，材料复检继续服务于协作评审和成果交接。</w:t>
      </w:r>
    </w:p>
    <w:p w14:paraId="28B0519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71760A2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195175ED">
      <w:pPr>
        <w:pStyle w:val="2"/>
        <w:keepNext/>
        <w:spacing w:before="160" w:after="100" w:line="360" w:lineRule="auto"/>
        <w:ind w:firstLine="0"/>
        <w:jc w:val="center"/>
      </w:pPr>
      <w:bookmarkStart w:id="6" w:name="_Toc30199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0410DC60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619605F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3183B43F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0632A1F9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3F543DCF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p w14:paraId="2B420D0A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[6] PyPA Twine. bugfix utils catch configparser Error. PR #1240, merged 2025-04-11. https://github.com/pypa/twine/pull/1240. 固定来源、许可证、原组件和完整单次运行记录随候选材料提供。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D14C91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FEB972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DF88CF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F2417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F94D8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508D6AEF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2026-10-03T05:32:38Z</dcterms:modified>
  <dc:subject>中国研究生网络安全创新大赛 创意作品赛</dc:subject>
  <dc:title>密证 CredProof——面向 AI 工具的凭据泄露验证与受控修复系统</dc:title>
</cp:coreProperties>
</file>