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3535">
      <w:pPr>
        <w:rPr>
          <w:rFonts w:ascii="黑体" w:hAnsi="宋体" w:eastAsia="黑体"/>
          <w:sz w:val="32"/>
          <w:szCs w:val="32"/>
        </w:rPr>
      </w:pPr>
      <w:bookmarkStart w:id="7" w:name="_GoBack"/>
      <w:bookmarkEnd w:id="7"/>
    </w:p>
    <w:p w14:paraId="6BDC4975">
      <w:pPr>
        <w:rPr>
          <w:rFonts w:ascii="黑体" w:hAnsi="宋体" w:eastAsia="黑体"/>
          <w:sz w:val="32"/>
          <w:szCs w:val="32"/>
        </w:rPr>
      </w:pPr>
    </w:p>
    <w:p w14:paraId="23FEF924">
      <w:pPr>
        <w:rPr>
          <w:rFonts w:ascii="黑体" w:hAnsi="宋体" w:eastAsia="黑体"/>
          <w:sz w:val="32"/>
          <w:szCs w:val="32"/>
        </w:rPr>
      </w:pPr>
    </w:p>
    <w:p w14:paraId="1622796D">
      <w:pPr>
        <w:jc w:val="center"/>
        <w:rPr>
          <w:rFonts w:ascii="黑体" w:hAnsi="宋体" w:eastAsia="黑体"/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中国研究生网络安全创新大赛</w:t>
      </w:r>
    </w:p>
    <w:p w14:paraId="029D1215">
      <w:pPr>
        <w:pStyle w:val="10"/>
        <w:jc w:val="center"/>
        <w:rPr>
          <w:b/>
          <w:sz w:val="52"/>
          <w:szCs w:val="52"/>
        </w:rPr>
      </w:pPr>
      <w:r>
        <w:rPr>
          <w:rFonts w:hint="eastAsia" w:ascii="黑体" w:hAnsi="宋体" w:eastAsia="黑体"/>
          <w:b/>
          <w:sz w:val="52"/>
          <w:szCs w:val="52"/>
        </w:rPr>
        <w:t>作品报告</w:t>
      </w:r>
    </w:p>
    <w:p w14:paraId="176C54A8">
      <w:pPr>
        <w:spacing w:line="360" w:lineRule="auto"/>
        <w:rPr>
          <w:rFonts w:ascii="宋体" w:hAnsi="宋体"/>
          <w:sz w:val="24"/>
        </w:rPr>
      </w:pPr>
    </w:p>
    <w:p w14:paraId="1EABAC47">
      <w:pPr>
        <w:spacing w:line="360" w:lineRule="auto"/>
        <w:rPr>
          <w:rFonts w:ascii="宋体" w:hAnsi="宋体"/>
          <w:sz w:val="24"/>
        </w:rPr>
      </w:pPr>
    </w:p>
    <w:p w14:paraId="1B6DE80E">
      <w:pPr>
        <w:spacing w:line="360" w:lineRule="auto"/>
        <w:rPr>
          <w:rFonts w:ascii="宋体" w:hAnsi="宋体"/>
          <w:sz w:val="24"/>
        </w:rPr>
      </w:pPr>
    </w:p>
    <w:p w14:paraId="3457EA26">
      <w:pPr>
        <w:spacing w:line="360" w:lineRule="auto"/>
        <w:rPr>
          <w:rFonts w:ascii="宋体" w:hAnsi="宋体"/>
          <w:sz w:val="24"/>
        </w:rPr>
      </w:pPr>
    </w:p>
    <w:p w14:paraId="1884F1B1">
      <w:pPr>
        <w:spacing w:line="360" w:lineRule="auto"/>
        <w:rPr>
          <w:rFonts w:ascii="宋体" w:hAnsi="宋体"/>
          <w:sz w:val="24"/>
        </w:rPr>
      </w:pPr>
    </w:p>
    <w:p w14:paraId="39212841">
      <w:pPr>
        <w:spacing w:line="360" w:lineRule="auto"/>
        <w:rPr>
          <w:rFonts w:ascii="宋体" w:hAnsi="宋体"/>
          <w:sz w:val="24"/>
        </w:rPr>
      </w:pPr>
    </w:p>
    <w:p w14:paraId="149290C9">
      <w:pPr>
        <w:spacing w:line="360" w:lineRule="auto"/>
        <w:rPr>
          <w:rFonts w:ascii="宋体" w:hAnsi="宋体"/>
          <w:sz w:val="24"/>
        </w:rPr>
      </w:pPr>
    </w:p>
    <w:p w14:paraId="26B7B458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作品名称：密证 CredProof——</w:t>
      </w:r>
      <w:r>
        <w:rPr>
          <w:rFonts w:ascii="黑体" w:hAnsi="黑体" w:eastAsia="黑体" w:cs="黑体"/>
          <w:b/>
          <w:color w:val="000000"/>
          <w:sz w:val="32"/>
        </w:rPr>
        <w:br w:type="textWrapping"/>
      </w:r>
      <w:r>
        <w:rPr>
          <w:rFonts w:ascii="黑体" w:hAnsi="黑体" w:eastAsia="黑体" w:cs="黑体"/>
          <w:b/>
          <w:color w:val="000000"/>
          <w:sz w:val="32"/>
        </w:rPr>
        <w:t>面向 AI 工具的凭据泄露验证与受控修复系统</w:t>
      </w:r>
    </w:p>
    <w:p w14:paraId="6DF22529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2ED60A13">
      <w:pPr>
        <w:spacing w:line="360" w:lineRule="auto"/>
        <w:rPr>
          <w:rFonts w:ascii="黑体" w:hAnsi="宋体" w:eastAsia="黑体"/>
          <w:b/>
          <w:sz w:val="32"/>
          <w:szCs w:val="32"/>
          <w:u w:val="single"/>
        </w:rPr>
      </w:pPr>
      <w:r>
        <w:rPr>
          <w:rFonts w:ascii="黑体" w:hAnsi="黑体" w:eastAsia="黑体" w:cs="黑体"/>
          <w:b/>
          <w:color w:val="000000"/>
          <w:sz w:val="32"/>
        </w:rPr>
        <w:t>提交日期：待填</w:t>
      </w:r>
    </w:p>
    <w:p w14:paraId="7D5E9BC6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  <w:sectPr>
          <w:headerReference r:id="rId6" w:type="first"/>
          <w:footerReference r:id="rId9" w:type="first"/>
          <w:headerReference r:id="rId5" w:type="default"/>
          <w:footerReference r:id="rId7" w:type="default"/>
          <w:footerReference r:id="rId8" w:type="even"/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46EDB65C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填写说明</w:t>
      </w:r>
    </w:p>
    <w:p w14:paraId="7806A973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 xml:space="preserve">1. </w:t>
      </w:r>
      <w:r>
        <w:rPr>
          <w:rFonts w:ascii="宋体" w:hAnsi="宋体" w:eastAsia="宋体" w:cs="宋体"/>
          <w:bCs/>
          <w:color w:val="000000"/>
          <w:sz w:val="24"/>
        </w:rPr>
        <w:t>所有参赛</w:t>
      </w:r>
      <w:r>
        <w:rPr>
          <w:rFonts w:hint="eastAsia" w:ascii="宋体" w:hAnsi="宋体" w:eastAsia="宋体" w:cs="宋体"/>
          <w:bCs/>
          <w:color w:val="000000"/>
          <w:sz w:val="24"/>
        </w:rPr>
        <w:t>项目</w:t>
      </w:r>
      <w:r>
        <w:rPr>
          <w:rFonts w:ascii="宋体" w:hAnsi="宋体" w:eastAsia="宋体" w:cs="宋体"/>
          <w:bCs/>
          <w:color w:val="000000"/>
          <w:sz w:val="24"/>
        </w:rPr>
        <w:t>必须为一个基本完整的设计。</w:t>
      </w:r>
      <w:r>
        <w:rPr>
          <w:rFonts w:hint="eastAsia" w:ascii="宋体" w:hAnsi="宋体" w:eastAsia="宋体" w:cs="宋体"/>
          <w:bCs/>
          <w:color w:val="000000"/>
          <w:sz w:val="24"/>
        </w:rPr>
        <w:t>作品报告书旨在能够清晰准确地阐述（或图示）该参赛队的参赛项目（或</w:t>
      </w:r>
      <w:r>
        <w:rPr>
          <w:rFonts w:ascii="宋体" w:hAnsi="宋体" w:eastAsia="宋体" w:cs="宋体"/>
          <w:bCs/>
          <w:color w:val="000000"/>
          <w:sz w:val="24"/>
        </w:rPr>
        <w:t>方案</w:t>
      </w:r>
      <w:r>
        <w:rPr>
          <w:rFonts w:hint="eastAsia" w:ascii="宋体" w:hAnsi="宋体" w:eastAsia="宋体" w:cs="宋体"/>
          <w:bCs/>
          <w:color w:val="000000"/>
          <w:sz w:val="24"/>
        </w:rPr>
        <w:t>）。</w:t>
      </w:r>
    </w:p>
    <w:p w14:paraId="17CA4891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2. 作品报告采用A4纸撰写。除标题外，所有内容必需为宋体、小四号字、1.5倍行距。</w:t>
      </w:r>
    </w:p>
    <w:p w14:paraId="5554264B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3. 作品报告中各项目说明文字部分仅供参考，作品报告书撰写完毕后，请删除所有说明文字。(本页不删除)</w:t>
      </w:r>
    </w:p>
    <w:p w14:paraId="100A6FD6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4. 作品报告模板里已经列的内容仅供参考，作者可以在此基础上增加内容或对文档结构进行微调。</w:t>
      </w:r>
    </w:p>
    <w:p w14:paraId="465B4706">
      <w:pPr>
        <w:widowControl/>
        <w:autoSpaceDE w:val="0"/>
        <w:autoSpaceDN w:val="0"/>
        <w:adjustRightInd w:val="0"/>
        <w:spacing w:before="0" w:after="60" w:line="360" w:lineRule="auto"/>
        <w:ind w:firstLine="0"/>
        <w:rPr>
          <w:rFonts w:ascii="宋体" w:hAnsi="宋体" w:cs="DFKai-SB"/>
          <w:bCs/>
          <w:sz w:val="24"/>
        </w:rPr>
      </w:pPr>
      <w:r>
        <w:rPr>
          <w:rFonts w:hint="eastAsia" w:ascii="宋体" w:hAnsi="宋体" w:eastAsia="宋体" w:cs="宋体"/>
          <w:bCs/>
          <w:color w:val="000000"/>
          <w:sz w:val="24"/>
        </w:rPr>
        <w:t>5. 为保证网评的公平、公正，作品报告中应避免出现作者所在学校、院系和指导教师等泄露身份的信息。一经发现，取消作品参赛资格。</w:t>
      </w:r>
    </w:p>
    <w:p w14:paraId="07531CC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F03CC4D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D10CE2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7B631D5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8E5376A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>
          <w:pgSz w:w="11906" w:h="16838"/>
          <w:pgMar w:top="1440" w:right="1466" w:bottom="1440" w:left="1620" w:header="851" w:footer="992" w:gutter="0"/>
          <w:cols w:space="720" w:num="1"/>
          <w:docGrid w:type="lines" w:linePitch="312" w:charSpace="0"/>
        </w:sectPr>
      </w:pPr>
    </w:p>
    <w:p w14:paraId="495EF66D">
      <w:pPr>
        <w:spacing w:after="200"/>
        <w:jc w:val="center"/>
      </w:pPr>
      <w:r>
        <w:rPr>
          <w:rFonts w:ascii="黑体" w:hAnsi="黑体" w:eastAsia="黑体" w:cs="黑体"/>
          <w:b/>
          <w:color w:val="000000"/>
          <w:sz w:val="32"/>
        </w:rPr>
        <w:t>目录</w:t>
      </w:r>
    </w:p>
    <w:p w14:paraId="54FD5B44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  <w:sz w:val="24"/>
        </w:rPr>
        <w:fldChar w:fldCharType="begin"/>
      </w:r>
      <w:r>
        <w:rPr>
          <w:rFonts w:ascii="宋体" w:hAnsi="宋体" w:eastAsia="宋体" w:cs="宋体"/>
          <w:color w:val="000000"/>
          <w:sz w:val="24"/>
        </w:rPr>
        <w:instrText xml:space="preserve"> TOC \o "1-1" \h \z \u </w:instrText>
      </w:r>
      <w:r>
        <w:rPr>
          <w:rFonts w:ascii="宋体" w:hAnsi="宋体" w:eastAsia="宋体" w:cs="宋体"/>
          <w:color w:val="000000"/>
          <w:sz w:val="24"/>
        </w:rPr>
        <w:fldChar w:fldCharType="separate"/>
      </w: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_Toc18758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摘要</w:t>
      </w:r>
      <w:r>
        <w:tab/>
      </w:r>
      <w:r>
        <w:fldChar w:fldCharType="begin"/>
      </w:r>
      <w:r>
        <w:instrText xml:space="preserve"> PAGEREF _Toc18758 \h </w:instrText>
      </w:r>
      <w:r>
        <w:fldChar w:fldCharType="separate"/>
      </w:r>
      <w:r>
        <w:t>3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5711F6D0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_Toc24465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第一章 作品概述</w:t>
      </w:r>
      <w:r>
        <w:tab/>
      </w:r>
      <w:r>
        <w:fldChar w:fldCharType="begin"/>
      </w:r>
      <w:r>
        <w:instrText xml:space="preserve"> PAGEREF _Toc24465 \h </w:instrText>
      </w:r>
      <w:r>
        <w:fldChar w:fldCharType="separate"/>
      </w:r>
      <w:r>
        <w:t>4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0D031EBA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_Toc3943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第二章 作品设计与实现</w:t>
      </w:r>
      <w:r>
        <w:tab/>
      </w:r>
      <w:r>
        <w:fldChar w:fldCharType="begin"/>
      </w:r>
      <w:r>
        <w:instrText xml:space="preserve"> PAGEREF _Toc3943 \h </w:instrText>
      </w:r>
      <w:r>
        <w:fldChar w:fldCharType="separate"/>
      </w:r>
      <w:r>
        <w:t>5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12501A5A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_Toc3312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第三章 作品测试与分析</w:t>
      </w:r>
      <w:r>
        <w:tab/>
      </w:r>
      <w:r>
        <w:fldChar w:fldCharType="begin"/>
      </w:r>
      <w:r>
        <w:instrText xml:space="preserve"> PAGEREF _Toc3312 \h </w:instrText>
      </w:r>
      <w:r>
        <w:fldChar w:fldCharType="separate"/>
      </w:r>
      <w:r>
        <w:t>8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6CAE7D85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_Toc32170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第四章 创新性说明</w:t>
      </w:r>
      <w:r>
        <w:tab/>
      </w:r>
      <w:r>
        <w:fldChar w:fldCharType="begin"/>
      </w:r>
      <w:r>
        <w:instrText xml:space="preserve"> PAGEREF _Toc32170 \h </w:instrText>
      </w:r>
      <w:r>
        <w:fldChar w:fldCharType="separate"/>
      </w:r>
      <w:r>
        <w:t>12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79074F19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_Toc32303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第五章 总结</w:t>
      </w:r>
      <w:r>
        <w:tab/>
      </w:r>
      <w:r>
        <w:fldChar w:fldCharType="begin"/>
      </w:r>
      <w:r>
        <w:instrText xml:space="preserve"> PAGEREF _Toc32303 \h </w:instrText>
      </w:r>
      <w:r>
        <w:fldChar w:fldCharType="separate"/>
      </w:r>
      <w:r>
        <w:t>14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2740BD4F">
      <w:pPr>
        <w:pStyle w:val="5"/>
        <w:tabs>
          <w:tab w:val="right" w:leader="dot" w:pos="8820"/>
        </w:tabs>
      </w:pPr>
      <w:r>
        <w:rPr>
          <w:rFonts w:ascii="宋体" w:hAnsi="宋体" w:eastAsia="宋体" w:cs="宋体"/>
          <w:color w:val="000000"/>
        </w:rPr>
        <w:fldChar w:fldCharType="begin"/>
      </w:r>
      <w:r>
        <w:rPr>
          <w:rFonts w:ascii="宋体" w:hAnsi="宋体" w:eastAsia="宋体" w:cs="宋体"/>
        </w:rPr>
        <w:instrText xml:space="preserve"> HYPERLINK \l _Toc6258 </w:instrText>
      </w:r>
      <w:r>
        <w:rPr>
          <w:rFonts w:ascii="宋体" w:hAnsi="宋体" w:eastAsia="宋体" w:cs="宋体"/>
        </w:rPr>
        <w:fldChar w:fldCharType="separate"/>
      </w:r>
      <w:r>
        <w:rPr>
          <w:rFonts w:ascii="黑体" w:hAnsi="黑体" w:eastAsia="黑体" w:cs="黑体"/>
        </w:rPr>
        <w:t>参考文献</w:t>
      </w:r>
      <w:r>
        <w:tab/>
      </w:r>
      <w:r>
        <w:fldChar w:fldCharType="begin"/>
      </w:r>
      <w:r>
        <w:instrText xml:space="preserve"> PAGEREF _Toc6258 \h </w:instrText>
      </w:r>
      <w:r>
        <w:fldChar w:fldCharType="separate"/>
      </w:r>
      <w:r>
        <w:t>15</w:t>
      </w:r>
      <w:r>
        <w:fldChar w:fldCharType="end"/>
      </w:r>
      <w:r>
        <w:rPr>
          <w:rFonts w:ascii="宋体" w:hAnsi="宋体" w:eastAsia="宋体" w:cs="宋体"/>
          <w:color w:val="000000"/>
        </w:rPr>
        <w:fldChar w:fldCharType="end"/>
      </w:r>
    </w:p>
    <w:p w14:paraId="12B8FF22">
      <w:pPr>
        <w:widowControl/>
        <w:spacing w:before="0" w:after="60" w:line="360" w:lineRule="auto"/>
        <w:ind w:firstLine="0"/>
      </w:pPr>
      <w:r>
        <w:rPr>
          <w:rFonts w:ascii="宋体" w:hAnsi="宋体" w:eastAsia="宋体" w:cs="宋体"/>
          <w:color w:val="000000"/>
        </w:rPr>
        <w:fldChar w:fldCharType="end"/>
      </w:r>
    </w:p>
    <w:p w14:paraId="7D757988">
      <w:pPr>
        <w:pStyle w:val="2"/>
        <w:keepNext/>
        <w:spacing w:before="160" w:after="100" w:line="360" w:lineRule="auto"/>
        <w:ind w:firstLine="0"/>
        <w:jc w:val="center"/>
      </w:pPr>
      <w:bookmarkStart w:id="0" w:name="_Toc18758"/>
      <w:r>
        <w:rPr>
          <w:rFonts w:ascii="黑体" w:hAnsi="黑体" w:eastAsia="黑体" w:cs="黑体"/>
          <w:b/>
          <w:color w:val="000000"/>
          <w:sz w:val="32"/>
        </w:rPr>
        <w:t>摘要</w:t>
      </w:r>
      <w:bookmarkEnd w:id="0"/>
    </w:p>
    <w:p w14:paraId="53581E3C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凭据没有写进源码，也可能在工具执行时流入日志和异常返回。密证 CredProof 面向维护自有或授权 Python 工具的开发者，将泄露线索转化为可交付复查的候选修复。人工固定需求和允许范围，程序生成受控证据，本地模型提出补丁，程序联合检查泄露、业务行为与修改边界。h01 展示模型补足本项目固定启发式遗漏的参数日志；h03 展示脱敏前缀未移除真实值，失败反馈后第二候选通过；h07 保留未发现泄露的原代码。冻结八例中，Agent 取得四个问题例的合格补丁，完整任务六例，未完成记录保留。另对 Twine 一个公开历史问题进行窄组件复现与修复验证，独立导出材料并复检。作品提供的不只是补丁，还有对应副本和条件的验收依据，帮助开发者判断是否接受修复。</w:t>
      </w:r>
    </w:p>
    <w:p w14:paraId="45A404D0">
      <w:pPr>
        <w:widowControl/>
        <w:spacing w:before="0" w:after="60" w:line="360" w:lineRule="auto"/>
        <w:ind w:firstLine="0"/>
      </w:pPr>
      <w:r>
        <w:rPr>
          <w:rFonts w:ascii="宋体" w:hAnsi="宋体" w:eastAsia="宋体" w:cs="宋体"/>
          <w:b w:val="0"/>
          <w:color w:val="000000"/>
          <w:sz w:val="24"/>
        </w:rPr>
        <w:t>关键词：运行时凭据；本地智能体；受控修复；证据反馈；材料复检</w:t>
      </w:r>
    </w:p>
    <w:p w14:paraId="2B87A1B2">
      <w:r>
        <w:br w:type="page"/>
      </w:r>
    </w:p>
    <w:p w14:paraId="2CCA616E">
      <w:pPr>
        <w:pStyle w:val="2"/>
        <w:keepNext/>
        <w:spacing w:before="160" w:after="100" w:line="360" w:lineRule="auto"/>
        <w:ind w:firstLine="0"/>
        <w:jc w:val="center"/>
      </w:pPr>
      <w:bookmarkStart w:id="1" w:name="_Toc24465"/>
      <w:r>
        <w:rPr>
          <w:rFonts w:ascii="黑体" w:hAnsi="黑体" w:eastAsia="黑体" w:cs="黑体"/>
          <w:b/>
          <w:color w:val="000000"/>
          <w:sz w:val="32"/>
        </w:rPr>
        <w:t>第一章 作品概述</w:t>
      </w:r>
      <w:bookmarkEnd w:id="1"/>
    </w:p>
    <w:p w14:paraId="51204E27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1.1 作品价值</w:t>
      </w:r>
    </w:p>
    <w:p w14:paraId="668049F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密证服务于维护自有或获授权 Python 工具、AI 工具及相关组件的开发者和安全人员。使用时刻是：工具已经出现凭据可能进入异常返回、日志或其他禁止输出通道的迹象，需要确认问题、修改代码，并判断候选补丁是否可以交付。</w:t>
      </w:r>
    </w:p>
    <w:p w14:paraId="452E6E5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使用者实际要处理五件事：找到触发条件和传播路径，区分合法认证与禁止泄露，修改并保持必要业务行为，判断候选是否真的消除了暴露，把对应材料交给下一位复查者。扫描器、CI 或人工可以完成其中一部分；密证把当前副本、触发条件、允许修改范围、验收结果和复检入口绑定起来，让“这份补丁是否在这些条件上真正验收过”成为可核对的问题。</w:t>
      </w:r>
    </w:p>
    <w:p w14:paraId="1BB7097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让 AI 提出修复，让程序决定是否接受，让开发者能够复查。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人工适配是使用前提：人工仍需提供授权范围、适配入口、可信需求和必要业务条件；本地模型只在这些边界内提出候选，固定程序负责证据、权限和判定。</w:t>
      </w:r>
    </w:p>
    <w:p w14:paraId="344CD8D7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1.2 三个作品特点</w:t>
      </w:r>
    </w:p>
    <w:p w14:paraId="1FE85EE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证据反馈驱动的候选修复。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固定程序先执行受控触发，模型读取代码与脱敏观察，提出候选；失败回执可进入后续请求。h01 支持固定启发式之外的有限增量，h03 支持一次真实反馈调整。两例的作用不同，不合并成更大的成功故事。</w:t>
      </w:r>
    </w:p>
    <w:p w14:paraId="4D9A941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程序实施修改授权和安全/业务联合验收。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模型不能修改需求、裁判或原工作区。当前副本有有效泄露证据且候选在允许范围内，才进入检查；安全通道、认证行为、成功响应、拒绝和异常条件共同决定结果。h07 中没有确认泄露，原代码保持不变。</w:t>
      </w:r>
    </w:p>
    <w:p w14:paraId="081D82A3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/>
          <w:color w:val="000000"/>
          <w:sz w:val="24"/>
        </w:rPr>
        <w:t>对应对象的材料交付与独立复检。</w:t>
      </w:r>
      <w:r>
        <w:rPr>
          <w:rFonts w:ascii="宋体" w:hAnsi="宋体" w:eastAsia="宋体" w:cs="宋体"/>
          <w:b w:val="0"/>
          <w:color w:val="000000"/>
          <w:sz w:val="24"/>
        </w:rPr>
        <w:t xml:space="preserve"> 导出原件、当前候选、规则和轨迹；复检重新读取材料并区分旧报告适用性、历史材料完整性和当前 PASS/FAIL/UNKNOWN。对象或规则变化时不沿用旧缓存结论。</w:t>
      </w:r>
    </w:p>
    <w:p w14:paraId="7324F47C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1.3 应用场景与技术基础</w:t>
      </w:r>
    </w:p>
    <w:p w14:paraId="18020165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作品适用于教学实验、团队自有认证工具及内部授权组件。开发者可以定位泄露通道、比较候选差异，把对应材料交给他人复检；正常工具经验证后保持原样。当前范围是已登记、已适配的受控 Python 工具，使用合成凭据、本地模拟服务和既有隔离环境，不扫描真实账户或公网目标。</w:t>
      </w:r>
    </w:p>
    <w:p w14:paraId="1AB2652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系统采用 Qwen3-Coder、Qwen-Agent 和 Ollama[1–3]。这些是公开复用基础；项目自行实现受限工具、证据授权、完成控制、裁判与案例、过程记录、对象绑定复检和工作台。人工、固定程序与模型的职责在第二章明确区分。</w:t>
      </w:r>
    </w:p>
    <w:p w14:paraId="4206B122">
      <w:pPr>
        <w:pStyle w:val="2"/>
        <w:keepNext/>
        <w:spacing w:before="160" w:after="100" w:line="360" w:lineRule="auto"/>
        <w:ind w:firstLine="0"/>
        <w:jc w:val="center"/>
      </w:pPr>
      <w:bookmarkStart w:id="2" w:name="_Toc3943"/>
      <w:r>
        <w:rPr>
          <w:rFonts w:ascii="黑体" w:hAnsi="黑体" w:eastAsia="黑体" w:cs="黑体"/>
          <w:b/>
          <w:color w:val="000000"/>
          <w:sz w:val="32"/>
        </w:rPr>
        <w:t>第二章 作品设计与实现</w:t>
      </w:r>
      <w:bookmarkEnd w:id="2"/>
    </w:p>
    <w:p w14:paraId="0CEFDCE4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2.1 系统组成与数据流程</w:t>
      </w:r>
    </w:p>
    <w:p w14:paraId="487C591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系统由单页与 Python 后端、受控会话、模型接口、隔离执行器、裁判和复检模块组成。人工先固定代码、需求、允许修改范围和规则；固定程序用成功、拒绝和服务异常条件形成初始证据；模型读取代码和脱敏观察，提出假设、选择结构化工具、提交候选并请求验证。</w:t>
      </w:r>
    </w:p>
    <w:p w14:paraId="1CD7651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候选只写入副本。程序核对权限，隔离执行器采集行为，裁判检查安全与功能，再依据必要条件确认任务状态。工作台把模型分析、程序确认和任务状态分开显示，历史回放、确定性复检和现场推理有独立标识。</w:t>
      </w:r>
    </w:p>
    <w:tbl>
      <w:tblPr>
        <w:tblStyle w:val="6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798"/>
        <w:gridCol w:w="2891"/>
      </w:tblGrid>
      <w:tr w14:paraId="266471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3834CD5C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角色</w:t>
            </w:r>
          </w:p>
        </w:tc>
        <w:tc>
          <w:tcPr>
            <w:tcW w:w="3798" w:type="dxa"/>
            <w:vAlign w:val="center"/>
          </w:tcPr>
          <w:p w14:paraId="727433C9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负责什么</w:t>
            </w:r>
          </w:p>
        </w:tc>
        <w:tc>
          <w:tcPr>
            <w:tcW w:w="2891" w:type="dxa"/>
            <w:vAlign w:val="center"/>
          </w:tcPr>
          <w:p w14:paraId="1D1BCBF3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不负责什么</w:t>
            </w:r>
          </w:p>
        </w:tc>
      </w:tr>
      <w:tr w14:paraId="47D2D90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C449A84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人工</w:t>
            </w:r>
          </w:p>
        </w:tc>
        <w:tc>
          <w:tcPr>
            <w:tcW w:w="3798" w:type="dxa"/>
            <w:vAlign w:val="center"/>
          </w:tcPr>
          <w:p w14:paraId="192F78CC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授权范围、输入输出契约、必要业务条件和最终发布决定</w:t>
            </w:r>
          </w:p>
        </w:tc>
        <w:tc>
          <w:tcPr>
            <w:tcW w:w="2891" w:type="dxa"/>
            <w:vAlign w:val="center"/>
          </w:tcPr>
          <w:p w14:paraId="2686222F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不把模型猜测直接当作漏洞结论</w:t>
            </w:r>
          </w:p>
        </w:tc>
      </w:tr>
      <w:tr w14:paraId="55CB267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3109F4E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固定程序</w:t>
            </w:r>
          </w:p>
        </w:tc>
        <w:tc>
          <w:tcPr>
            <w:tcW w:w="3798" w:type="dxa"/>
            <w:vAlign w:val="center"/>
          </w:tcPr>
          <w:p w14:paraId="4D57A262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初始证据、工具协议、路径权限、隔离执行、安全/业务判定、材料绑定</w:t>
            </w:r>
          </w:p>
        </w:tc>
        <w:tc>
          <w:tcPr>
            <w:tcW w:w="2891" w:type="dxa"/>
            <w:vAlign w:val="center"/>
          </w:tcPr>
          <w:p w14:paraId="7B288D1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不替模型理解任意代码</w:t>
            </w:r>
          </w:p>
        </w:tc>
      </w:tr>
      <w:tr w14:paraId="12CF377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7166F74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本地模型</w:t>
            </w:r>
          </w:p>
        </w:tc>
        <w:tc>
          <w:tcPr>
            <w:tcW w:w="3798" w:type="dxa"/>
            <w:vAlign w:val="center"/>
          </w:tcPr>
          <w:p w14:paraId="6B79F581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代码理解、触发假设、工具选择和候选补丁</w:t>
            </w:r>
          </w:p>
        </w:tc>
        <w:tc>
          <w:tcPr>
            <w:tcW w:w="2891" w:type="dxa"/>
            <w:vAlign w:val="center"/>
          </w:tcPr>
          <w:p w14:paraId="02814DC8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不修改裁判、需求或隔离设施，不直接指定 PASS</w:t>
            </w:r>
          </w:p>
        </w:tc>
      </w:tr>
    </w:tbl>
    <w:p w14:paraId="773D7555">
      <w:pPr>
        <w:keepNext/>
        <w:widowControl/>
        <w:spacing w:before="0" w:after="60" w:line="360" w:lineRule="auto"/>
        <w:ind w:firstLine="0"/>
        <w:jc w:val="center"/>
      </w:pPr>
      <w:r>
        <w:drawing>
          <wp:inline distT="0" distB="0" distL="114300" distR="114300">
            <wp:extent cx="5471795" cy="3757295"/>
            <wp:effectExtent l="0" t="0" r="14605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75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71B28">
      <w:pPr>
        <w:widowControl/>
        <w:spacing w:before="0" w:after="60" w:line="36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 1 运行证据约束下的候选修复与验收流程</w:t>
      </w:r>
    </w:p>
    <w:p w14:paraId="651D7E5A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2.2 凭据使用与业务契约</w:t>
      </w:r>
    </w:p>
    <w:p w14:paraId="10D82EB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原合成任务的被测工具实现 tool.run(request, auth_service)。有效请求具有非空 request_id、resource、1 至 5 的整数 units 和可选布尔 debug。工具从指定环境变量读取执行侧生成的随机合成凭据，并向本地 mock 认证服务调用一次；该认证实参是允许使用凭据的通道。</w:t>
      </w:r>
    </w:p>
    <w:p w14:paraId="0C05869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返回内容与键、异常文本、stdout、stderr、logging 属于禁止泄露通道。执行器采集实际输出，裁判按固定矩阵检查完整凭据值。业务检查同时核对认证次数与实参、成功响应、拒绝和服务异常；无效输入不得调用认证。这样，删除认证、常量成功或吞掉异常都不能替代合格修复。</w:t>
      </w:r>
    </w:p>
    <w:p w14:paraId="4BE85F82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原始值保留在执行侧，模型只见脱敏观察与失败类别。受控运行接收结构化请求和认证条件，原合成任务完整验收对所有候选采用相同的 13 项条件。外部组件按预先固定的独立接口条件验收，单独记录，不并入原批次。</w:t>
      </w:r>
    </w:p>
    <w:p w14:paraId="7CF3A64A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2.3 程序控制的修改与完成</w:t>
      </w:r>
    </w:p>
    <w:p w14:paraId="48A61D4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会话把原始对象、规则和触发条件关联起来。仅当前有效泄露证据授权写入候选；没有确认依据时保留原代码，并记录模型的疑点。工具调用经过协议解析、参数与路径校验，补丁只能替换候选工具，可信需求、裁判和执行设施保持固定。候选执行前还要满足受限 Python 语法规则。</w:t>
      </w:r>
    </w:p>
    <w:p w14:paraId="2D34ABDE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执行使用 WSL/Linux 隔离设施，通过命名空间、只读挂载、资源限制和系统调用约束控制运行能力。程序记录每项检查的 PASS、FAIL 或 UNKNOWN。FAIL 可以触发预算内的反馈调整；满足当前对象的全部完成条件后，执行器才确认任务完成。请求次数、候选数、上下文和时间均有上限，错误或超时保留到记录中。</w:t>
      </w:r>
    </w:p>
    <w:p w14:paraId="60BD529D">
      <w:pPr>
        <w:keepNext/>
        <w:widowControl/>
        <w:spacing w:before="0" w:after="60" w:line="360" w:lineRule="auto"/>
        <w:ind w:firstLine="0"/>
        <w:jc w:val="center"/>
      </w:pPr>
      <w:r>
        <w:drawing>
          <wp:inline distT="0" distB="0" distL="114300" distR="114300">
            <wp:extent cx="5471795" cy="3079750"/>
            <wp:effectExtent l="0" t="0" r="146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E70">
      <w:pPr>
        <w:widowControl/>
        <w:spacing w:before="0" w:after="60" w:line="36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 2 真实工作台中的证据与独立任务状态</w:t>
      </w:r>
    </w:p>
    <w:p w14:paraId="292760F3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2.4 工作台与对象对应的复检</w:t>
      </w:r>
    </w:p>
    <w:p w14:paraId="51C6768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工作台分别展示模型判断、程序确认和任务状态，可展开真实证据、代码差异及每次验收回执。请求、响应、调用实参与候选一同保存，支持回到具体失败步骤。</w:t>
      </w:r>
    </w:p>
    <w:p w14:paraId="4609334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材料包包含原始与当前副本、可信需求、配置、报告、轨迹、校验信息和复检源码。复检无需重新调用模型，而是在已准备的隔离设施上重读当前对象并重新执行固定条件。源文件、候选、规则或材料变化时，旧缓存包和旧复检结论不能继续作为当前结果复用。</w:t>
      </w:r>
    </w:p>
    <w:p w14:paraId="3F41D2C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复检分别报告旧报告适用性、历史材料完整性和当前验收。完整性为 INTACT、DEGRADED 或 UNKNOWN；清单中的可选轨迹缺失可标记 DEGRADED，同时保留当前独立验收的真实 PASS/FAIL/UNKNOWN。旧报告失效与当前对象失败分别处理，因此一个变化后的对象仍可能通过新的检查。</w:t>
      </w:r>
    </w:p>
    <w:p w14:paraId="6B180783">
      <w:pPr>
        <w:pStyle w:val="2"/>
        <w:keepNext/>
        <w:spacing w:before="160" w:after="100" w:line="360" w:lineRule="auto"/>
        <w:ind w:firstLine="0"/>
        <w:jc w:val="center"/>
      </w:pPr>
      <w:bookmarkStart w:id="3" w:name="_Toc3312"/>
      <w:r>
        <w:rPr>
          <w:rFonts w:ascii="黑体" w:hAnsi="黑体" w:eastAsia="黑体" w:cs="黑体"/>
          <w:b/>
          <w:color w:val="000000"/>
          <w:sz w:val="32"/>
        </w:rPr>
        <w:t>第三章 作品测试与分析</w:t>
      </w:r>
      <w:bookmarkEnd w:id="3"/>
    </w:p>
    <w:p w14:paraId="2FE58567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3.1 固定测试设计</w:t>
      </w:r>
    </w:p>
    <w:p w14:paraId="6F74ADD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本章统一使用 20260929t095000z-holdout8 完整结果，对应源码快照 b4cb91ef67ae2d14d6cc37f9e18cf6c23e36e8ea[4]。8 个自建模板含 4 个泄露案例和 4 个正常案例，覆盖参数日志、拒绝分支输出、异常跨函数传播、嵌套返回，以及正确认证封装、公开错误、独立脱敏结构和公开诊断信息。</w:t>
      </w:r>
    </w:p>
    <w:p w14:paraId="621A3802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各模板在执行方法前登记需求、标签和断言，每个对象检查 13 项固定条件。A/B/C 共享三项公开初始诊断。A 是本项目固定启发式修复程序；B 为一次模型生成；C 为有工具反馈的 Agent，最多 12 次模型请求、3 个候选。该轮采用 Qwen-Agent 0.0.34、Ollama 0.34.4、qwen3-coder:30b Q4_K_M 和 16K 上下文，监督命令退出 0，冻结文件保持一致。</w:t>
      </w:r>
    </w:p>
    <w:p w14:paraId="148D71A3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3.2 完整对照结果</w:t>
      </w:r>
    </w:p>
    <w:tbl>
      <w:tblPr>
        <w:tblStyle w:val="6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417"/>
        <w:gridCol w:w="1417"/>
        <w:gridCol w:w="1417"/>
        <w:gridCol w:w="1417"/>
        <w:gridCol w:w="1417"/>
      </w:tblGrid>
      <w:tr w14:paraId="7DF66B54">
        <w:trPr>
          <w:cantSplit/>
          <w:tblHeader/>
          <w:jc w:val="center"/>
        </w:trPr>
        <w:tc>
          <w:tcPr>
            <w:tcW w:w="1729" w:type="dxa"/>
            <w:vAlign w:val="center"/>
          </w:tcPr>
          <w:p w14:paraId="58566AF6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方法</w:t>
            </w:r>
          </w:p>
        </w:tc>
        <w:tc>
          <w:tcPr>
            <w:tcW w:w="1417" w:type="dxa"/>
            <w:vAlign w:val="center"/>
          </w:tcPr>
          <w:p w14:paraId="5895C64F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问题修复</w:t>
            </w:r>
          </w:p>
        </w:tc>
        <w:tc>
          <w:tcPr>
            <w:tcW w:w="1417" w:type="dxa"/>
            <w:vAlign w:val="center"/>
          </w:tcPr>
          <w:p w14:paraId="5E23FB1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正常通过</w:t>
            </w:r>
          </w:p>
        </w:tc>
        <w:tc>
          <w:tcPr>
            <w:tcW w:w="1417" w:type="dxa"/>
            <w:vAlign w:val="center"/>
          </w:tcPr>
          <w:p w14:paraId="175CB36F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对象通过</w:t>
            </w:r>
          </w:p>
        </w:tc>
        <w:tc>
          <w:tcPr>
            <w:tcW w:w="1417" w:type="dxa"/>
            <w:vAlign w:val="center"/>
          </w:tcPr>
          <w:p w14:paraId="7A008134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任务完成</w:t>
            </w:r>
          </w:p>
        </w:tc>
        <w:tc>
          <w:tcPr>
            <w:tcW w:w="1417" w:type="dxa"/>
            <w:vAlign w:val="center"/>
          </w:tcPr>
          <w:p w14:paraId="44577F69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误修改</w:t>
            </w:r>
          </w:p>
        </w:tc>
      </w:tr>
      <w:tr w14:paraId="158DC6D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 w14:paraId="5A077070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A 固定程序</w:t>
            </w:r>
          </w:p>
        </w:tc>
        <w:tc>
          <w:tcPr>
            <w:tcW w:w="1417" w:type="dxa"/>
            <w:vAlign w:val="center"/>
          </w:tcPr>
          <w:p w14:paraId="156A8943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3/4</w:t>
            </w:r>
          </w:p>
        </w:tc>
        <w:tc>
          <w:tcPr>
            <w:tcW w:w="1417" w:type="dxa"/>
            <w:vAlign w:val="center"/>
          </w:tcPr>
          <w:p w14:paraId="4091554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4/4</w:t>
            </w:r>
          </w:p>
        </w:tc>
        <w:tc>
          <w:tcPr>
            <w:tcW w:w="1417" w:type="dxa"/>
            <w:vAlign w:val="center"/>
          </w:tcPr>
          <w:p w14:paraId="588A0DB2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7/8</w:t>
            </w:r>
          </w:p>
        </w:tc>
        <w:tc>
          <w:tcPr>
            <w:tcW w:w="1417" w:type="dxa"/>
            <w:vAlign w:val="center"/>
          </w:tcPr>
          <w:p w14:paraId="39DF2840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7/8</w:t>
            </w:r>
          </w:p>
        </w:tc>
        <w:tc>
          <w:tcPr>
            <w:tcW w:w="1417" w:type="dxa"/>
            <w:vAlign w:val="center"/>
          </w:tcPr>
          <w:p w14:paraId="1CA79C75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0/4</w:t>
            </w:r>
          </w:p>
        </w:tc>
      </w:tr>
      <w:tr w14:paraId="76E9EFC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 w14:paraId="06D8FEC9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 一次生成</w:t>
            </w:r>
          </w:p>
        </w:tc>
        <w:tc>
          <w:tcPr>
            <w:tcW w:w="1417" w:type="dxa"/>
            <w:vAlign w:val="center"/>
          </w:tcPr>
          <w:p w14:paraId="021CAD53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1/4</w:t>
            </w:r>
          </w:p>
        </w:tc>
        <w:tc>
          <w:tcPr>
            <w:tcW w:w="1417" w:type="dxa"/>
            <w:vAlign w:val="center"/>
          </w:tcPr>
          <w:p w14:paraId="42F594C7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4/4</w:t>
            </w:r>
          </w:p>
        </w:tc>
        <w:tc>
          <w:tcPr>
            <w:tcW w:w="1417" w:type="dxa"/>
            <w:vAlign w:val="center"/>
          </w:tcPr>
          <w:p w14:paraId="000F7A1B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5/8</w:t>
            </w:r>
          </w:p>
        </w:tc>
        <w:tc>
          <w:tcPr>
            <w:tcW w:w="1417" w:type="dxa"/>
            <w:vAlign w:val="center"/>
          </w:tcPr>
          <w:p w14:paraId="12ABFC44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4/8</w:t>
            </w:r>
          </w:p>
        </w:tc>
        <w:tc>
          <w:tcPr>
            <w:tcW w:w="1417" w:type="dxa"/>
            <w:vAlign w:val="center"/>
          </w:tcPr>
          <w:p w14:paraId="218459E7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0/4</w:t>
            </w:r>
          </w:p>
        </w:tc>
      </w:tr>
      <w:tr w14:paraId="2C6AB4F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29" w:type="dxa"/>
            <w:vAlign w:val="center"/>
          </w:tcPr>
          <w:p w14:paraId="76BEC5E0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C 反馈模型</w:t>
            </w:r>
          </w:p>
        </w:tc>
        <w:tc>
          <w:tcPr>
            <w:tcW w:w="1417" w:type="dxa"/>
            <w:vAlign w:val="center"/>
          </w:tcPr>
          <w:p w14:paraId="627DA203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4/4</w:t>
            </w:r>
          </w:p>
        </w:tc>
        <w:tc>
          <w:tcPr>
            <w:tcW w:w="1417" w:type="dxa"/>
            <w:vAlign w:val="center"/>
          </w:tcPr>
          <w:p w14:paraId="6BB14D84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4/4</w:t>
            </w:r>
          </w:p>
        </w:tc>
        <w:tc>
          <w:tcPr>
            <w:tcW w:w="1417" w:type="dxa"/>
            <w:vAlign w:val="center"/>
          </w:tcPr>
          <w:p w14:paraId="4C93D9DB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8/8</w:t>
            </w:r>
          </w:p>
        </w:tc>
        <w:tc>
          <w:tcPr>
            <w:tcW w:w="1417" w:type="dxa"/>
            <w:vAlign w:val="center"/>
          </w:tcPr>
          <w:p w14:paraId="784FEB7D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6/8</w:t>
            </w:r>
          </w:p>
        </w:tc>
        <w:tc>
          <w:tcPr>
            <w:tcW w:w="1417" w:type="dxa"/>
            <w:vAlign w:val="center"/>
          </w:tcPr>
          <w:p w14:paraId="05CFFC8B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0/4</w:t>
            </w:r>
          </w:p>
        </w:tc>
      </w:tr>
    </w:tbl>
    <w:p w14:paraId="456B2D1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“合格修复”表示问题例的最终对象满足固定检查；“完整任务”要求执行器对当前对象形成完成状态。C 的 h05/h06 输出正文工具标签，未形成原生工具调用和有效诊断，故原对象独立检查 PASS 仍不能补作任务完成。B 的 h07 输出 JSON 无效，也保留未完成状态。结果体现了候选能力与协议完成可靠性两个不同维度。</w:t>
      </w:r>
    </w:p>
    <w:p w14:paraId="7A24B48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正常例实际修改均为 0，但原始判断仍分别记录：A 对 h05 的误判提案被证据门槛拒绝；B 有 1 例、C 有 2 例结构化诊断缺失。C 对 h07/h08 提出潜在风险疑点，未确认实际外泄。程序确认、模型原文、提案和实际改动可以逐项追溯。</w:t>
      </w:r>
    </w:p>
    <w:p w14:paraId="735E492C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3.3 h01 补充参数日志的修复候选</w:t>
      </w:r>
    </w:p>
    <w:p w14:paraId="28C078E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凭据经 helper 参数进入 logging。本项目固定启发式 A 的污点集合没有把调用实参 credential 传递到 helper 形参 supplied，其日志根对象识别也未覆盖链式 getLogger(...).info；A 最终未修好。B 的候选仅有空白差异，也仍泄露。C 为日志另建 redacted 值，authenticate(supplied, resource) 保持原实参，最终通过安全与业务检查。这一案例展示模型在既有固定启发式之外给出有效候选的作用。</w:t>
      </w:r>
    </w:p>
    <w:p w14:paraId="39F5D559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3.4 h03 用真实失败反馈纠正补丁</w:t>
      </w:r>
    </w:p>
    <w:p w14:paraId="4AD36E57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第一候选把 credential= 替换为带 [REDACTED] 的前缀，真实值仍跟在后面。验证发现日志继续泄露，失败回执进入下一次模型请求；第二候选改为固定安全错误信息，检查随后通过。模型曾把失败错误归因于字面词 credential，而实际判据是合成凭据值是否残留。两份补丁与回执可在工作台核对[5]。</w:t>
      </w:r>
    </w:p>
    <w:p w14:paraId="2A37096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同轮 A 在 h03 的首补丁已经成功。该故事展示的是一次真实反馈调整过程，h01 则展示固定启发式之外的候选增益，二者评价目的不同。</w:t>
      </w:r>
    </w:p>
    <w:p w14:paraId="3FBF6E58">
      <w:pPr>
        <w:keepNext/>
        <w:widowControl/>
        <w:spacing w:before="0" w:after="60" w:line="360" w:lineRule="auto"/>
        <w:ind w:firstLine="0"/>
        <w:jc w:val="center"/>
      </w:pPr>
      <w:r>
        <w:drawing>
          <wp:inline distT="0" distB="0" distL="114300" distR="114300">
            <wp:extent cx="5471795" cy="3079750"/>
            <wp:effectExtent l="0" t="0" r="1460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9D58">
      <w:pPr>
        <w:widowControl/>
        <w:spacing w:before="0" w:after="60" w:line="36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 3 h03 两次候选与真实验证反馈 历史记录回放</w:t>
      </w:r>
    </w:p>
    <w:p w14:paraId="63385D0F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3.5 h07 正常验证后保留原代码</w:t>
      </w:r>
    </w:p>
    <w:p w14:paraId="494B8D50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h07 将认证数据与脱敏日志分开构造，日志中的认证字段已替换为固定标记。C 对脱敏逻辑提出疑点并追加受控观察，程序仍未发现凭据泄露。最终验证原对象的 13 项条件全部通过，任务以 COMPLETED_UNCHANGED 结束，没有候选补丁和实际修改。这个案例说明系统既支持必要修复，也支持在证据不足时保持正常代码。</w:t>
      </w:r>
    </w:p>
    <w:p w14:paraId="13928568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3.6 开销与适用边界</w:t>
      </w:r>
    </w:p>
    <w:p w14:paraId="2B62E66A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本轮 B 累计 8 次请求，输入/输出 tokens 为 12,567/4,634；C 为 31 次，99,142/6,648。方法耗时累计 A 33.538 秒、B 57.178 秒、C 74.335 秒。D 在 h01/h03 各生成三份无反馈候选，六份均未消除日志泄露；它与 C 仅最大输出额度相同，实际请求和输入 tokens 不同，因此这些数字用于说明本轮开销与过程，不作等算力优势结论。</w:t>
      </w:r>
    </w:p>
    <w:p w14:paraId="638850EC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当前评估属于开发过程构造的合成模板评测，共享部分代码，未构成外部独立盲测；全部 14 个已有案例现作为已知回归。公开初始诊断不计作 Agent 自主发现，后续两例复测和界面完善不拼入本章成绩。A 是本项目实现，不能代称成熟扫描器；h01 与 h03 分别支持有限候选增益和一次反馈调整，不能外推普遍优越性。</w:t>
      </w:r>
    </w:p>
    <w:p w14:paraId="77B5783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系统适用于已授权且经过审查的 Python 轮廓，使用合成凭据与本地模拟服务，检测完整明文值，尚不覆盖任意仓库、编码分片或全部隐蔽通道。需求、裁判与操作者是可信前提；操作系统隔离不等于抵抗任意 Python 内省，普通摘要也不是身份认证或数字签名。正式部署仍需组件适配和对应条件下的验证。</w:t>
      </w:r>
    </w:p>
    <w:p w14:paraId="03D151D1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3.7 外部开源组件接入</w:t>
      </w:r>
    </w:p>
    <w:p w14:paraId="36CD6C8C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为检验旧样例之外的接入可行性，本版选取 PyPA Twine 配置读取组件的公开历史问题[6]。PR #1240 记录了解析格式错误配置时，未处理异常可能将敏感内容带到控制台。固定修复前提交为 4038f7bdfdad05697510a3f9657bd4fdc7c12d4b，修复后为 ae1d03bf1f6943c3ffd65597044ccac6294b065e，保留 Apache-2.0 许可及原文件。这是真实历史问题，不是人工注入；本项目不把它声称为新发现、上游采纳或企业部署。</w:t>
      </w:r>
    </w:p>
    <w:p w14:paraId="6224A022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适配器只执行 get_repository_from_config 的配置文件分支，保留 get_config、URL 规范化、异常类和原有业务逻辑；只允许新增一个解析异常转换分支，不执行上传或公网认证。七项条件包括三类格式错误、两类正常配置、缺仓库和缺文件。修复前版本在三类格式错误下把合成凭据带入 stderr，其他四项通过；上游修复版七项通过。</w:t>
      </w:r>
    </w:p>
    <w:p w14:paraId="4DAE834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一次本地模型任务共 5 次调用、3 份候选。第一份追加两个 handler，第二份使用超出固定轮廓的元组异常类型，二者在执行前因修改权限边界被拒；第三份只追加 configparser.Error 到安全 InvalidConfiguration 的转换，进入隔离后七项条件全部通过。三份候选均为合法 Python；前两份未进入动态验收，不能据此断言它们仍泄露。边界拒绝与 h03 已执行后的泄露 FAIL 分开统计。</w:t>
      </w:r>
    </w:p>
    <w:p w14:paraId="08F92B95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新目录复检重新读取材料并确认当前对象通过。这个结果支持“保留上游业务组件的窄适配可行”，不支持任意项目接入、通用自主修复或优于固定规则的结论；一个外部组件的七项条件不增加八例统计分母。</w:t>
      </w:r>
    </w:p>
    <w:tbl>
      <w:tblPr>
        <w:tblStyle w:val="6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798"/>
        <w:gridCol w:w="2891"/>
      </w:tblGrid>
      <w:tr w14:paraId="18AC007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1F322E1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条件组</w:t>
            </w:r>
          </w:p>
        </w:tc>
        <w:tc>
          <w:tcPr>
            <w:tcW w:w="3798" w:type="dxa"/>
            <w:vAlign w:val="center"/>
          </w:tcPr>
          <w:p w14:paraId="1F1B9135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实际检查</w:t>
            </w:r>
          </w:p>
        </w:tc>
        <w:tc>
          <w:tcPr>
            <w:tcW w:w="2891" w:type="dxa"/>
            <w:vAlign w:val="center"/>
          </w:tcPr>
          <w:p w14:paraId="33234F21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原件 / 最终候选</w:t>
            </w:r>
          </w:p>
        </w:tc>
      </w:tr>
      <w:tr w14:paraId="16E7305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42BD902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bare-token、no-section-password、section-bare-token</w:t>
            </w:r>
          </w:p>
        </w:tc>
        <w:tc>
          <w:tcPr>
            <w:tcW w:w="3798" w:type="dxa"/>
            <w:vAlign w:val="center"/>
          </w:tcPr>
          <w:p w14:paraId="4B51484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三种格式错误不得在 stdout、stderr、logging 暴露值；仍返回配置领域错误</w:t>
            </w:r>
          </w:p>
        </w:tc>
        <w:tc>
          <w:tcPr>
            <w:tcW w:w="2891" w:type="dxa"/>
            <w:vAlign w:val="center"/>
          </w:tcPr>
          <w:p w14:paraId="02D7C41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 项 FAIL / 3 项 PASS</w:t>
            </w:r>
          </w:p>
        </w:tc>
      </w:tr>
      <w:tr w14:paraId="1E91705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5241D154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valid-pypi、valid-custom</w:t>
            </w:r>
          </w:p>
        </w:tc>
        <w:tc>
          <w:tcPr>
            <w:tcW w:w="3798" w:type="dxa"/>
            <w:vAlign w:val="center"/>
          </w:tcPr>
          <w:p w14:paraId="208F7C7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仓库 URL、用户和内部凭据原值保持，禁止输出通道无泄露</w:t>
            </w:r>
          </w:p>
        </w:tc>
        <w:tc>
          <w:tcPr>
            <w:tcW w:w="2891" w:type="dxa"/>
            <w:vAlign w:val="center"/>
          </w:tcPr>
          <w:p w14:paraId="7202AB55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 项 PASS / 2 项 PASS</w:t>
            </w:r>
          </w:p>
        </w:tc>
      </w:tr>
      <w:tr w14:paraId="675D8DF3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301A9512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missing-repository、missing-file</w:t>
            </w:r>
          </w:p>
        </w:tc>
        <w:tc>
          <w:tcPr>
            <w:tcW w:w="3798" w:type="dxa"/>
            <w:vAlign w:val="center"/>
          </w:tcPr>
          <w:p w14:paraId="74073AB1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缺仓库与缺文件保留原有领域错误行为，禁止通道无泄露</w:t>
            </w:r>
          </w:p>
        </w:tc>
        <w:tc>
          <w:tcPr>
            <w:tcW w:w="2891" w:type="dxa"/>
            <w:vAlign w:val="center"/>
          </w:tcPr>
          <w:p w14:paraId="5C25D1F1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2 项 PASS / 2 项 PASS</w:t>
            </w:r>
          </w:p>
        </w:tc>
      </w:tr>
    </w:tbl>
    <w:p w14:paraId="0C081CFE">
      <w:pPr>
        <w:keepNext/>
        <w:widowControl/>
        <w:spacing w:before="0" w:after="60" w:line="360" w:lineRule="auto"/>
        <w:ind w:firstLine="0"/>
        <w:jc w:val="center"/>
      </w:pPr>
      <w:r>
        <w:drawing>
          <wp:inline distT="0" distB="0" distL="114300" distR="114300">
            <wp:extent cx="5471795" cy="3079750"/>
            <wp:effectExtent l="0" t="0" r="14605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7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B8D2">
      <w:pPr>
        <w:widowControl/>
        <w:spacing w:before="0" w:after="60" w:line="360" w:lineRule="auto"/>
        <w:ind w:firstLine="0"/>
        <w:jc w:val="center"/>
      </w:pPr>
      <w:r>
        <w:rPr>
          <w:rFonts w:ascii="宋体" w:hAnsi="宋体" w:eastAsia="宋体" w:cs="宋体"/>
          <w:b w:val="0"/>
          <w:color w:val="000000"/>
          <w:sz w:val="24"/>
        </w:rPr>
        <w:t>图 4 当前对象的实际复检记录 不调用模型</w:t>
      </w:r>
    </w:p>
    <w:p w14:paraId="719BECA1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3.8 分层交付与演示</w:t>
      </w:r>
    </w:p>
    <w:p w14:paraId="17C6C6B9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查看作品入口仅需普通 Python，读取真实回放，不检查或启动模型；重新验收入口需要既有隔离设施但不调用模型；现场修复入口才需要完整本地推理环境。缺少隔离不降级到宿主执行。三种入口共享当前作品界面，现场失败不会由历史成功结果替换。</w:t>
      </w:r>
    </w:p>
    <w:p w14:paraId="5C9FD573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preliminary.4 在同机新源码目录、新 Python 环境中验证启动、历史查看、实际复检与导出，并生成约三分钟及一分钟字幕实录剪辑。前三例明确标为历史回放，复检段包含新的程序执行及对象摘要。同机验证复用了已准备的 WSL 隔离 runtime，不作为跨机器部署验证。本版 preliminary.5 仅重构价值表达和证据索引，沿用该实录并标注版本，没有新模型实验或新真人结果。</w:t>
      </w:r>
    </w:p>
    <w:p w14:paraId="0B629EB2">
      <w:pPr>
        <w:pStyle w:val="2"/>
        <w:keepNext/>
        <w:spacing w:before="160" w:after="100" w:line="360" w:lineRule="auto"/>
        <w:ind w:firstLine="0"/>
        <w:jc w:val="center"/>
      </w:pPr>
      <w:bookmarkStart w:id="4" w:name="_Toc32170"/>
      <w:r>
        <w:rPr>
          <w:rFonts w:ascii="黑体" w:hAnsi="黑体" w:eastAsia="黑体" w:cs="黑体"/>
          <w:b/>
          <w:color w:val="000000"/>
          <w:sz w:val="32"/>
        </w:rPr>
        <w:t>第四章 创新性说明</w:t>
      </w:r>
      <w:bookmarkEnd w:id="4"/>
    </w:p>
    <w:p w14:paraId="182A16EF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4.1 证据驱动的候选生成与反馈调整</w:t>
      </w:r>
    </w:p>
    <w:p w14:paraId="077CC5D6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具体困难是：一次性补丁可能只改表面文本，无法说明真实值是否消失。密证的设计是让固定程序先执行已登记触发，把脱敏观察和失败回执交给模型；模型可以在预算内调整候选，程序再次检查。h03 的候选1仍输出真实值，回执进入后续请求后候选2改为固定安全错误信息并通过；h01 则展示参数日志这一固定启发式遗漏的有限增量。</w:t>
      </w:r>
    </w:p>
    <w:p w14:paraId="471CA5C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本项目实现的是受控工具协议、反馈记录和候选状态，不是新的模型训练或通用修复算法。相比一次性模型修复，它多了一次基于当前执行结果的候选调整路径；相比本项目固定启发式，它允许在已登记结构内利用代码语义提出不同候选。两种基线都可能在部分案例中成功，本轮没有证明普遍优势。</w:t>
      </w:r>
    </w:p>
    <w:p w14:paraId="3139D338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4.2 程序控制的修改权限与安全/业务验收</w:t>
      </w:r>
    </w:p>
    <w:p w14:paraId="61B7BC9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具体困难是：模型建议不能自行获得写入和“通过”权限，安全修复也不能通过删除业务行为换取绿色结果。密证让执行侧固定当前副本、可信需求、允许修改范围、禁止输出通道和必要业务检查。只有有效泄露证据授权修改，候选通过协议和边界检查后，才进入隔离执行；裁判同时检查泄露是否消除、认证调用、成功响应、拒绝、异常和修改边界。</w:t>
      </w:r>
    </w:p>
    <w:p w14:paraId="5DB34383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h07 中模型有疑点但没有实际泄露证据，原对象保持不变；Twine 前两候选在执行前因越界被拒，第三候选才进入七项检查。这些证据说明程序实施了权限与联合验收，不说明模型没有误报，也不把普通状态控制或隔离技术称为首创。</w:t>
      </w:r>
    </w:p>
    <w:p w14:paraId="3C5F40D1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4.3 对应修复对象的材料导出与复检</w:t>
      </w:r>
    </w:p>
    <w:p w14:paraId="6E4E21A8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具体困难是：保存一个 PASS 字段不能保证它仍对应当前代码、规则和检查条件。密证导出原件、当前候选、需求、规则、轨迹和绑定信息；复检重新读取这些材料并执行必要检查，分别报告旧报告适用性、历史材料完整性和当前结果。对象变化时不复用旧缓存结论，材料缺失会显式显示而不伪装成“证据齐全”。</w:t>
      </w:r>
    </w:p>
    <w:p w14:paraId="1B20692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相关实现位于 agent_pilot/web.py 的材料绑定和 agent_pilot/bundle.py 的复检逻辑。对象变化定向回归、h01/h03/h07 材料和 Twine 新目录复检共同支持这一交付主张。普通哈希只能检测相对清单的变化，不是第三方认证或不可伪造证明。规范 CI 同样可以实现固定检查和版本绑定；密证把它们与候选反馈、修改门槛和可移交复检材料组织为面向开发者的操作流程。此前官方资料核查确认扫描器已有暂存区扫描或凭据有效性等能力，本文未对成熟产品或其他修复 Agent 作效果排名[7]。</w:t>
      </w:r>
    </w:p>
    <w:tbl>
      <w:tblPr>
        <w:tblStyle w:val="6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3798"/>
        <w:gridCol w:w="2891"/>
      </w:tblGrid>
      <w:tr w14:paraId="2EA00A2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84" w:type="dxa"/>
            <w:vAlign w:val="center"/>
          </w:tcPr>
          <w:p w14:paraId="4D5996C9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特点</w:t>
            </w:r>
          </w:p>
        </w:tc>
        <w:tc>
          <w:tcPr>
            <w:tcW w:w="3798" w:type="dxa"/>
            <w:vAlign w:val="center"/>
          </w:tcPr>
          <w:p w14:paraId="2919262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关键代码</w:t>
            </w:r>
          </w:p>
        </w:tc>
        <w:tc>
          <w:tcPr>
            <w:tcW w:w="2891" w:type="dxa"/>
            <w:vAlign w:val="center"/>
          </w:tcPr>
          <w:p w14:paraId="48662D4E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/>
                <w:color w:val="000000"/>
                <w:sz w:val="24"/>
              </w:rPr>
              <w:t>主要依据</w:t>
            </w:r>
          </w:p>
        </w:tc>
      </w:tr>
      <w:tr w14:paraId="739C7610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0FCB29A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证据反馈</w:t>
            </w:r>
          </w:p>
        </w:tc>
        <w:tc>
          <w:tcPr>
            <w:tcW w:w="3798" w:type="dxa"/>
            <w:vAlign w:val="center"/>
          </w:tcPr>
          <w:p w14:paraId="04E450DB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reliability.GovernedSession、model_client.LocalAgentClient</w:t>
            </w:r>
          </w:p>
        </w:tc>
        <w:tc>
          <w:tcPr>
            <w:tcW w:w="2891" w:type="dxa"/>
            <w:vAlign w:val="center"/>
          </w:tcPr>
          <w:p w14:paraId="674B558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h01 有限候选增量；h03 真实反馈调整</w:t>
            </w:r>
          </w:p>
        </w:tc>
      </w:tr>
      <w:tr w14:paraId="32B65E2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177D142D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程序控制验收</w:t>
            </w:r>
          </w:p>
        </w:tc>
        <w:tc>
          <w:tcPr>
            <w:tcW w:w="3798" w:type="dxa"/>
            <w:vAlign w:val="center"/>
          </w:tcPr>
          <w:p w14:paraId="4C2A84C8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judge.judge_trial、isolation.run_isolated、external_twine.boundary</w:t>
            </w:r>
          </w:p>
        </w:tc>
        <w:tc>
          <w:tcPr>
            <w:tcW w:w="2891" w:type="dxa"/>
            <w:vAlign w:val="center"/>
          </w:tcPr>
          <w:p w14:paraId="589F0E4A">
            <w:pPr>
              <w:keepNext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h07 正常保留；Twine 越界候选被拒</w:t>
            </w:r>
          </w:p>
        </w:tc>
      </w:tr>
      <w:tr w14:paraId="2E12C41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84" w:type="dxa"/>
            <w:vAlign w:val="center"/>
          </w:tcPr>
          <w:p w14:paraId="73C0AB5A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对象材料复检</w:t>
            </w:r>
          </w:p>
        </w:tc>
        <w:tc>
          <w:tcPr>
            <w:tcW w:w="3798" w:type="dxa"/>
            <w:vAlign w:val="center"/>
          </w:tcPr>
          <w:p w14:paraId="2F759FBA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web._require_current_material、bundle.recheck_bundle</w:t>
            </w:r>
          </w:p>
        </w:tc>
        <w:tc>
          <w:tcPr>
            <w:tcW w:w="2891" w:type="dxa"/>
            <w:vAlign w:val="center"/>
          </w:tcPr>
          <w:p w14:paraId="3D04A6D3">
            <w:pPr>
              <w:keepNext w:val="0"/>
              <w:widowControl/>
              <w:spacing w:before="60" w:after="60" w:line="360" w:lineRule="auto"/>
              <w:ind w:firstLine="0"/>
              <w:jc w:val="center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对象变化回归；当前对象的新复检</w:t>
            </w:r>
          </w:p>
        </w:tc>
      </w:tr>
    </w:tbl>
    <w:p w14:paraId="21AAA4DD">
      <w:pPr>
        <w:pStyle w:val="2"/>
        <w:keepNext/>
        <w:spacing w:before="160" w:after="100" w:line="360" w:lineRule="auto"/>
        <w:ind w:firstLine="0"/>
        <w:jc w:val="center"/>
      </w:pPr>
      <w:bookmarkStart w:id="5" w:name="_Toc32303"/>
      <w:r>
        <w:rPr>
          <w:rFonts w:ascii="黑体" w:hAnsi="黑体" w:eastAsia="黑体" w:cs="黑体"/>
          <w:b/>
          <w:color w:val="000000"/>
          <w:sz w:val="32"/>
        </w:rPr>
        <w:t>第五章 总结</w:t>
      </w:r>
      <w:bookmarkEnd w:id="5"/>
    </w:p>
    <w:p w14:paraId="431F209D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密证已经形成“观察证据—候选生成—受控修改—安全与业务验收—材料复检”的可运行原型。它不是把所有安全工作交给模型，而是让模型在明确边界内处理代码理解和候选生成，让固定程序保留证据、权限和判定。完整同轮测试展示了四个问题例的合格修复、正常代码保留及一次真实失败反馈调整；任务完成指标同时揭示了工具协议仍需改进。Twine 外部接入说明了一条窄组件适配路径，未被写成泛化成绩。</w:t>
      </w:r>
    </w:p>
    <w:p w14:paraId="3A7657F4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作品对使用者的直接交付是：一份有实际执行依据的候选补丁、对应的安全与业务检查、以及可以由下一位开发者重新验收的材料。人工时间节省、企业部署收益、跨机器适配和任意代码库泛化尚未测量。本轮另准备了供 2—3 位未参与开发者执行的探索性体验包，但尚无真人结果，不把待执行材料写成用户研究结论。</w:t>
      </w:r>
    </w:p>
    <w:p w14:paraId="22569E3F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后续优先提升协议稳定性和授权组件覆盖，邀请不同作者构造新案例，并把新评估与已知回归分开统计。</w:t>
      </w:r>
    </w:p>
    <w:p w14:paraId="02A6CCA1">
      <w:pPr>
        <w:pStyle w:val="11"/>
        <w:keepNext/>
        <w:spacing w:before="120" w:after="60" w:line="360" w:lineRule="auto"/>
        <w:ind w:firstLine="0"/>
        <w:jc w:val="left"/>
      </w:pPr>
      <w:r>
        <w:rPr>
          <w:rFonts w:ascii="黑体" w:hAnsi="黑体" w:eastAsia="黑体" w:cs="黑体"/>
          <w:b/>
          <w:color w:val="000000"/>
          <w:sz w:val="28"/>
        </w:rPr>
        <w:t>来源与 AI 参与披露</w:t>
      </w:r>
    </w:p>
    <w:p w14:paraId="6252757C">
      <w:pPr>
        <w:widowControl/>
        <w:spacing w:before="0" w:after="60" w:line="360" w:lineRule="auto"/>
        <w:ind w:firstLine="480"/>
      </w:pPr>
      <w:r>
        <w:rPr>
          <w:rFonts w:ascii="宋体" w:hAnsi="宋体" w:eastAsia="宋体" w:cs="宋体"/>
          <w:b w:val="0"/>
          <w:color w:val="000000"/>
          <w:sz w:val="24"/>
        </w:rPr>
        <w:t>公开模型、框架、推理服务和隔离基础设施按来源引用；本项目实现受限工具、授权与完成控制、裁判及案例、实验组织、材料复检和展示组件。ChatGPT/Codex 实质参与方案、主要代码生成与修改、调试、试验组织、结果核对和文稿准备。队伍实际成员贡献与身份字段待填；AI 辅助范围、独立研究要求及参赛资格由队伍向导师/组委会确认。本报告不替代队伍签署的原创性声明。</w:t>
      </w:r>
    </w:p>
    <w:p w14:paraId="76781499">
      <w:pPr>
        <w:pStyle w:val="2"/>
        <w:keepNext/>
        <w:spacing w:before="160" w:after="100" w:line="360" w:lineRule="auto"/>
        <w:ind w:firstLine="0"/>
        <w:jc w:val="center"/>
      </w:pPr>
      <w:bookmarkStart w:id="6" w:name="_Toc6258"/>
      <w:r>
        <w:rPr>
          <w:rFonts w:ascii="黑体" w:hAnsi="黑体" w:eastAsia="黑体" w:cs="黑体"/>
          <w:b/>
          <w:color w:val="000000"/>
          <w:sz w:val="32"/>
        </w:rPr>
        <w:t>参考文献</w:t>
      </w:r>
      <w:bookmarkEnd w:id="6"/>
    </w:p>
    <w:p w14:paraId="7F95DC99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[1] Qwen Team. Qwen-Agent 官方项目[EB/OL]. https://github.com/QwenLM/Qwen-Agent. 本项目使用 0.0.34，实际依赖锁与来源清单随材料提供。</w:t>
      </w:r>
    </w:p>
    <w:p w14:paraId="4E4EEA92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[2] Qwen Team. Qwen3-Coder 官方项目[EB/OL]. https://github.com/QwenLM/Qwen3-Coder. 本项目使用 Ollama 分发的 qwen3-coder:30b Q4_K_M，不开展训练。</w:t>
      </w:r>
    </w:p>
    <w:p w14:paraId="57EBFD7E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[3] Ollama. Ollama 官方项目[EB/OL]. https://github.com/ollama/ollama. 本轮推理版本 0.34.4。</w:t>
      </w:r>
    </w:p>
    <w:p w14:paraId="7A83DC84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[4] 本项目. 冻结八案例完整运行记录[DS]. 2026-09-29. results.json；冻结文件摘要；源码快照；分层事实审计。</w:t>
      </w:r>
    </w:p>
    <w:p w14:paraId="2342E4D1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[5] 本项目. h03 原始候选与反馈记录[DS]. 2026-09-29. 首候选；第二候选；失败进入下一请求。</w:t>
      </w:r>
    </w:p>
    <w:p w14:paraId="3D0667A6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[6] PyPA Twine. bugfix utils catch configparser Error. PR #1240, merged 2025-04-11. https://github.com/pypa/twine/pull/1240. 固定来源、许可证、原组件和完整单次运行记录随候选材料提供。</w:t>
      </w:r>
    </w:p>
    <w:p w14:paraId="1D599B35">
      <w:pPr>
        <w:widowControl/>
        <w:spacing w:before="0" w:after="60" w:line="360" w:lineRule="auto"/>
        <w:ind w:firstLine="0"/>
        <w:jc w:val="left"/>
      </w:pPr>
      <w:r>
        <w:rPr>
          <w:rFonts w:ascii="宋体" w:hAnsi="宋体" w:eastAsia="宋体" w:cs="宋体"/>
          <w:b w:val="0"/>
          <w:color w:val="000000"/>
          <w:sz w:val="24"/>
        </w:rPr>
        <w:t>[7] 本项目. 官方资料与原论文核查记录[EB/OL]. 2026-09-29. docs/preliminary/01_related_work_and_template.md，含 Gitleaks、TruffleHog、GitHub Secret Scanning 官方来源以及修复验证、in-toto 原论文。该历史核查未作为竞品效果实验。</w:t>
      </w:r>
    </w:p>
    <w:sectPr>
      <w:footerReference r:id="rId10" w:type="default"/>
      <w:pgSz w:w="11906" w:h="16838"/>
      <w:pgMar w:top="1440" w:right="1466" w:bottom="1440" w:left="162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FKai-SB">
    <w:altName w:val="Microsoft JhengHei Light"/>
    <w:panose1 w:val="00000000000000000000"/>
    <w:charset w:val="88"/>
    <w:family w:val="script"/>
    <w:pitch w:val="default"/>
    <w:sig w:usb0="00000000" w:usb1="00000000" w:usb2="00000016" w:usb3="00000000" w:csb0="0010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74279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D8196A">
    <w:pPr>
      <w:pStyle w:val="3"/>
      <w:framePr w:wrap="around" w:vAnchor="text" w:hAnchor="margin" w:xAlign="center" w:y="1"/>
      <w:rPr>
        <w:rStyle w:val="8"/>
      </w:rPr>
    </w:pPr>
    <w:r>
      <w:rPr>
        <w:rStyle w:val="8"/>
      </w:rPr>
      <w:fldChar w:fldCharType="begin"/>
    </w:r>
    <w:r>
      <w:rPr>
        <w:rStyle w:val="8"/>
      </w:rPr>
      <w:instrText xml:space="preserve">PAGE  </w:instrText>
    </w:r>
    <w:r>
      <w:rPr>
        <w:rStyle w:val="8"/>
      </w:rPr>
      <w:fldChar w:fldCharType="separate"/>
    </w:r>
    <w:r>
      <w:rPr>
        <w:rStyle w:val="8"/>
      </w:rPr>
      <w:t>1</w:t>
    </w:r>
    <w:r>
      <w:rPr>
        <w:rStyle w:val="8"/>
      </w:rPr>
      <w:fldChar w:fldCharType="end"/>
    </w:r>
  </w:p>
  <w:p w14:paraId="08DF9D37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43CDC">
    <w:pPr>
      <w:pStyle w:val="3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4A2F87">
    <w:pPr>
      <w:widowControl/>
      <w:spacing w:before="0" w:after="60" w:line="360" w:lineRule="auto"/>
      <w:ind w:firstLine="0"/>
      <w:jc w:val="center"/>
    </w:pPr>
    <w:r>
      <w:rPr>
        <w:rFonts w:ascii="宋体" w:hAnsi="宋体" w:eastAsia="宋体" w:cs="宋体"/>
        <w:b w:val="0"/>
        <w:color w:val="000000"/>
        <w:sz w:val="24"/>
      </w:rPr>
      <w:t xml:space="preserve">第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PAGE </w:instrText>
    </w:r>
    <w:r>
      <w:rPr>
        <w:rFonts w:ascii="宋体" w:hAnsi="宋体" w:eastAsia="宋体" w:cs="宋体"/>
        <w:color w:val="000000"/>
        <w:sz w:val="24"/>
      </w:rPr>
      <w:fldChar w:fldCharType="separate"/>
    </w:r>
    <w:r>
      <w:rPr>
        <w:rFonts w:ascii="宋体" w:hAnsi="宋体" w:eastAsia="宋体" w:cs="宋体"/>
        <w:color w:val="000000"/>
        <w:sz w:val="24"/>
      </w:rPr>
      <w:t>3</w: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 共 </w:t>
    </w:r>
    <w:r>
      <w:rPr>
        <w:rFonts w:ascii="宋体" w:hAnsi="宋体" w:eastAsia="宋体" w:cs="宋体"/>
        <w:color w:val="000000"/>
        <w:sz w:val="24"/>
      </w:rPr>
      <w:fldChar w:fldCharType="begin"/>
    </w:r>
    <w:r>
      <w:rPr>
        <w:rFonts w:ascii="宋体" w:hAnsi="宋体" w:eastAsia="宋体" w:cs="宋体"/>
        <w:color w:val="000000"/>
        <w:sz w:val="24"/>
      </w:rPr>
      <w:instrText xml:space="preserve"> NUMPAGES </w:instrText>
    </w:r>
    <w:r>
      <w:rPr>
        <w:rFonts w:ascii="宋体" w:hAnsi="宋体" w:eastAsia="宋体" w:cs="宋体"/>
        <w:color w:val="000000"/>
        <w:sz w:val="24"/>
      </w:rPr>
      <w:fldChar w:fldCharType="separate"/>
    </w:r>
    <w:r>
      <w:rPr>
        <w:rFonts w:ascii="宋体" w:hAnsi="宋体" w:eastAsia="宋体" w:cs="宋体"/>
        <w:color w:val="000000"/>
        <w:sz w:val="24"/>
      </w:rPr>
      <w:t>15</w:t>
    </w:r>
    <w:r>
      <w:rPr>
        <w:rFonts w:ascii="宋体" w:hAnsi="宋体" w:eastAsia="宋体" w:cs="宋体"/>
        <w:color w:val="000000"/>
        <w:sz w:val="24"/>
      </w:rPr>
      <w:fldChar w:fldCharType="end"/>
    </w:r>
    <w:r>
      <w:rPr>
        <w:rFonts w:ascii="宋体" w:hAnsi="宋体" w:eastAsia="宋体" w:cs="宋体"/>
        <w:b w:val="0"/>
        <w:color w:val="000000"/>
        <w:sz w:val="2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87C68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C84955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GNlYTNjYzhkOWI3ZTcwMWJiOTE2ZjU4NjBhNGZhZjQifQ=="/>
  </w:docVars>
  <w:rsids>
    <w:rsidRoot w:val="00000000"/>
    <w:rsid w:val="034A490A"/>
    <w:rsid w:val="34871393"/>
    <w:rsid w:val="528E70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360" w:lineRule="auto"/>
      <w:jc w:val="both"/>
    </w:pPr>
    <w:rPr>
      <w:rFonts w:ascii="宋体" w:hAnsi="宋体" w:eastAsia="宋体" w:cs="宋体"/>
      <w:color w:val="00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39"/>
    <w:pPr>
      <w:spacing w:after="0" w:line="360" w:lineRule="auto"/>
    </w:pPr>
    <w:rPr>
      <w:rFonts w:ascii="宋体" w:hAnsi="宋体" w:eastAsia="宋体" w:cs="宋体"/>
      <w:color w:val="00000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qFormat/>
    <w:uiPriority w:val="99"/>
    <w:rPr>
      <w:color w:val="000066"/>
      <w:u w:val="none"/>
    </w:rPr>
  </w:style>
  <w:style w:type="paragraph" w:customStyle="1" w:styleId="10">
    <w:name w:val="Title"/>
    <w:uiPriority w:val="0"/>
    <w:rPr>
      <w:rFonts w:ascii="黑体" w:hAnsi="黑体" w:eastAsia="宋体" w:cs="Times New Roman"/>
      <w:color w:val="000000"/>
      <w:sz w:val="52"/>
    </w:rPr>
  </w:style>
  <w:style w:type="paragraph" w:customStyle="1" w:styleId="11">
    <w:name w:val="heading 2"/>
    <w:basedOn w:val="1"/>
    <w:uiPriority w:val="0"/>
    <w:pPr>
      <w:outlineLvl w:val="1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4.jpeg"/><Relationship Id="rId14" Type="http://schemas.openxmlformats.org/officeDocument/2006/relationships/image" Target="media/image3.jpe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2023-05-19T13:50:00Z</dcterms:created>
  <cp:keywords>运行时凭据 本地智能体 受控修复</cp:keywords>
  <dcterms:modified xsi:type="dcterms:W3CDTF">2026-10-03T07:22:52Z</dcterms:modified>
  <dc:subject>中国研究生网络安全创新大赛 创意作品赛</dc:subject>
  <dc:title>密证 CredProof——面向 AI 工具的凭据泄露验证与受控修复系统</dc:title>
</cp:coreProperties>
</file>