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1"/>
        </w:rPr>
        <w:t>附件2：</w:t>
      </w:r>
    </w:p>
    <w:p>
      <w:pPr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28"/>
        </w:rPr>
        <w:t>第十二届中国研究生智慧城市技术与创意设计大赛</w:t>
      </w:r>
    </w:p>
    <w:p>
      <w:pPr>
        <w:pStyle w:val="Title"/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32"/>
        </w:rPr>
        <w:t>创意设计赛项目说明书</w:t>
      </w:r>
    </w:p>
    <w:p>
      <w:pPr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24"/>
        </w:rPr>
        <w:t>能智核——公共建筑风阀疑点核验与补证工作台</w:t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21"/>
        </w:rPr>
        <w:t>参赛方向：智慧能源与环境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一、立项依据（不超过2000字）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公共建筑收到空调或用能告警后，值班人员需要完成一项具体工作：核对风阀疑点，决定先修数据、补运行时段，还是安排现场复核。仅看告警和全天平均值，不能说明数据是否可信、设备是否正处于可检验工况，也难以把判断依据交给下一班人员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能智核把这一工作组织为“导入一份运行CSV，交付一张核查卡”。对象是公共建筑运维人员及能源服务团队；当前软件以LBNL公开单风道机组仿真数据验证，真实建筑BDG2只作独立用能回放。作品不把电量变化直接解释成设备故障，也不将两种来源拼成真实楼宇定位证据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二、项目创新内容（不超过3000字）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1．项目总体思路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从“告警之后，先查什么”出发，工作台并列呈现数据质量和设备判断，说明支持证据、限制条件和下一步点位或时段。修改证据、预算或重复记录后，由数值程序重新计算；可阅读核查卡保留本次输入和依据，支持复查交接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212080" cy="3671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_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7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19"/>
        </w:rPr>
        <w:t>图1 实际运行界面。三个演示与公开原始CSV入口共用核验流程。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2．可行性分析：项目的技术或实施可行性。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已实现本地Python数值服务、浏览器工作台、17类允许点位的字段与单位映射及HTML核查卡。公开CSV日片段保留1440条原始观测，完整5点桶转换为288条5分钟数据，缺失不补零、不插值。无需付费API；本轮计算和实验不依赖语言模型。当前接入范围限于已验证的LBNL单风道机组仿真配置，不能解释为任意真实楼宇CSV即接即用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3．本项目的特色与创新之处。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特色是将“当前能否检验”与“已有何种证据”直接纳入核查任务。缺点位、工况不适用、证据冲突、已有支持证据分别解释；无法判断时写明补什么点位、哪个运行时段。质量修正后设备疑点仍可保留，落入正常参考包络也不能据此排除故障。这些是可操作、可追溯的产品流程特色，尚未证明原创诊断算法或人工提效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三、实施方案（不超过3000字）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212080" cy="2606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19"/>
        </w:rPr>
        <w:t>图2 代码对应流程：importer → quality → diagnostics/policies → reporter；修正后重新计算。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输入边界与证据计算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显式映射时间、点位、原始单位和采样间隔。单位不符或实际间隔不符即拒判，不累计虚假时长。质量、服务、证据、界面和导出共用同一质量对象。文件名、标签、故障设置、实际阀位反馈不作诊断输入；仿真控制指令不等同实际位置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风路核验要求双风机启动30分钟后、室外与回风温差至少3℃、指令位于开发参考范围，形成至少60分钟合格证据。盘管需零关阀指令持续至少75分钟，扣除15分钟等待后生成连续窗口，并满足参考覆盖。没有合格窗口时保留未决；不得把“未发现偏离”解释为排除故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5760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已实现任务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可复核结果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单位与时间轴反例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2项原错误均被拦截；质量对象与导出一致。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公开CSV至核查卡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本地选文件、映射、拒绝错误声明、重算、导出均可操作。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数据与设备两个维度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12条完全重复记录修正后，风阀疑点仍存在。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软件检查</w:t>
            </w:r>
          </w:p>
        </w:tc>
        <w:tc>
          <w:tcPr>
            <w:tcW w:type="dxa" w:w="576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29项可靠性、13项独立启动HTTP、21项邀测机制检查通过。</w:t>
            </w:r>
          </w:p>
        </w:tc>
      </w:tr>
    </w:tbl>
    <w:p>
      <w:pPr>
        <w:spacing w:after="0" w:before="0"/>
      </w:pPr>
      <w:r>
        <w:br w:type="page"/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历史结果：56个基础日工况，保留全部对照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主口径为同一仿真系统的14个日期、2个连续日期块、56个基础日工况。112条原始/重复记录配对仅作扰动回归。当前工作台形成12个与源标签一致的风阀候选，44个未决；未决保留在总分母内，不将“异常未定位”计为三分类正确。历史记录已经参与失败分析，只作回归，不称新留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源工况设置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基础数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一致候选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未决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正常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卡滞开度25%（025）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卡滞开度75%（075）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盘管阀泄漏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56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44</w:t>
            </w:r>
          </w:p>
        </w:tc>
      </w:tr>
    </w:tbl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025/075表示卡滞开度，不直接等同故障轻重。正常与泄漏三分类召回仍为0；本批全部112条盘管合格窗口为0，持续制冷或关阀时间不足使其不可检验。25%组中9个基础工况落入正常参考包络，也不足以排除源设定中的卡滞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1872"/>
        <w:gridCol w:w="1728"/>
      </w:tblGrid>
      <w:tr>
        <w:trPr>
          <w:cantSplit/>
          <w:tblHeader/>
        </w:trPr>
        <w:tc>
          <w:tcPr>
            <w:tcW w:type="dxa" w:w="45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历史对照方法</w:t>
            </w:r>
          </w:p>
        </w:tc>
        <w:tc>
          <w:tcPr>
            <w:tcW w:type="dxa" w:w="187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一致候选 / 56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未决 / 56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当前工作台</w:t>
            </w:r>
          </w:p>
        </w:tc>
        <w:tc>
          <w:tcPr>
            <w:tcW w:type="dxa" w:w="187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12/56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44/56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固定温差阈值</w:t>
            </w:r>
          </w:p>
        </w:tc>
        <w:tc>
          <w:tcPr>
            <w:tcW w:type="dxa" w:w="187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12/56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44/56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消融：去掉连续窗口约束</w:t>
            </w:r>
          </w:p>
        </w:tc>
        <w:tc>
          <w:tcPr>
            <w:tcW w:type="dxa" w:w="1872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12/56</w:t>
            </w:r>
          </w:p>
        </w:tc>
        <w:tc>
          <w:tcPr>
            <w:tcW w:type="dxa" w:w="1728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44/56</w:t>
            </w:r>
          </w:p>
        </w:tc>
      </w:tr>
    </w:tbl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固定阈值与必要消融在执行前冻结，共用输入、质量与工况约束。三种方法结果没有显示优势，不能据此宣称连续窗口的性能增益或算法领先。配对扰动各有0组标签变化，只支持对应重复记录扰动回归。有限样本中的误归因计数不构成“零误报”。软件耗时与查询单位不折算为人工提效。</w:t>
      </w:r>
    </w:p>
    <w:p>
      <w:pPr>
        <w:spacing w:after="0" w:before="0"/>
      </w:pPr>
      <w:r>
        <w:br w:type="page"/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真实价值对照：准备完成，测试待实施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拟招募5—10名真实参与者，对比常规曲线/表格与工作台，两种方式具有同一证据池、正常参考及检查清单。8个任务由两个开发日期、四种源设置配对而成；每人使用匹配但不同的案例，按4种顺序交叉平衡。每题上限5分钟，记录服务端耗时、关键证据遗漏、错误归因、超时失败及参与者背景，按参与者汇总，不能把同一人的8题当8人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参考答案草案从原始信号与官方文档单独形成，不以系统输出为真值。独立人员须逐题复核答案、可接受替代解释、匹配难度及评分标准并签署，正式入口才开放。当前独立复核和招募均未完成，真实参与者0人；软件培训演练不计真人结果。新性能实验另须遵守预先冻结日期块规则，排除历史日期，本轮没有新留出成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2367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18"/>
        </w:rPr>
        <w:t>图3 可运行邀测入口：培训示例不计真人结果，正式入口待独立复核。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四、应用前景分析（不超过500字）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作品可用于公开数据教学、核查流程演示及接入前规则验证。预期价值是帮助运维人员明确当前能判断什么、缺什么以及如何交接，而非直接控制楼宇设备。下一步先完成真实人员对照与独立评分，再在授权的同类设备上确认点位、参考工况和现场可核实性。尚无真实试点、合作或节能收益证据，节能机会筛查仅为后续附属能力。</w:t>
      </w:r>
    </w:p>
    <w:p>
      <w:pPr>
        <w:keepNext w:val="0"/>
        <w:keepLines w:val="0"/>
        <w:widowControl/>
        <w:spacing w:before="0" w:after="80" w:line="293" w:lineRule="auto"/>
        <w:jc w:val="left"/>
      </w:pPr>
      <w:r>
        <w:rPr>
          <w:rFonts w:ascii="SimSun" w:hAnsi="SimSun" w:eastAsia="SimSun" w:cs="SimSun"/>
          <w:b w:val="0"/>
          <w:color w:val="000000"/>
          <w:sz w:val="18"/>
        </w:rPr>
        <w:t>公开来源：LBNL FDD SDAHU说明（2022），fdddata.lbl.gov/data/Simulated_LBNL_FDD_Data_Sets_SDAHU/LBNL_FDD_Data_Sets_SDAHU.pdf；BDG2：github.com/buds-lab/building-data-genome-project-2。</w:t>
      </w:r>
    </w:p>
    <w:sectPr>
      <w:footerReference r:id="rId3" w:type="default"/>
      <w:headerReference w:type="default" r:id="rId7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>
  <w:font w:name="SimSun"/>
  <w:font w:name="SimHei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  <w:keepNext w:val="0"/>
      <w:keepLines w:val="0"/>
      <w:widowControl/>
      <w:spacing w:before="0" w:after="80" w:line="293" w:lineRule="auto"/>
    </w:pPr>
    <w:r>
      <w:rPr>
        <w:rFonts w:ascii="SimSun" w:hAnsi="SimSun" w:eastAsia="SimSun" w:cs="SimSun"/>
        <w:b w:val="0"/>
        <w:color w:val="00000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80" w:line="293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  <w:rPr>
      <w:rFonts w:ascii="SimSun" w:hAnsi="SimSun" w:eastAsia="SimSun" w:cs="SimSun"/>
      <w:sz w:val="24"/>
    </w:rPr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SimSun" w:hAnsi="SimSun" w:eastAsia="SimSun" w:cs="SimSun"/>
      <w:sz w:val="24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SimSun" w:hAnsi="SimSun" w:eastAsia="SimSun" w:cs="SimSun"/>
      <w:sz w:val="24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ascii="SimSun" w:hAnsi="SimSun" w:eastAsia="SimSun" w:cs="SimSu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rFonts w:ascii="SimSun" w:hAnsi="SimSun" w:eastAsia="SimSun" w:cs="SimSun"/>
      <w:color w:val="0000FF"/>
      <w:sz w:val="24"/>
      <w:u w:val="single"/>
    </w:rPr>
  </w:style>
  <w:style w:type="character" w:customStyle="1" w:styleId="10">
    <w:name w:val="10"/>
    <w:basedOn w:val="8"/>
    <w:qFormat/>
    <w:uiPriority w:val="0"/>
    <w:rPr>
      <w:rFonts w:ascii="SimSun" w:hAnsi="SimSun" w:eastAsia="SimSun" w:cs="SimSun"/>
      <w:sz w:val="24"/>
    </w:rPr>
  </w:style>
  <w:style w:type="character" w:customStyle="1" w:styleId="11">
    <w:name w:val="15"/>
    <w:basedOn w:val="8"/>
    <w:qFormat/>
    <w:uiPriority w:val="0"/>
    <w:rPr>
      <w:rFonts w:ascii="SimSun" w:hAnsi="SimSun" w:eastAsia="SimSun" w:cs="SimSun"/>
      <w:b/>
      <w:sz w:val="24"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SimSun" w:hAnsi="SimSun" w:eastAsia="SimSun" w:cs="SimSun"/>
      <w:sz w:val="24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ascii="SimSun" w:hAnsi="SimSun" w:eastAsia="SimSun" w:cs="SimSun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ascii="SimSun" w:hAnsi="SimSun" w:eastAsia="SimSun" w:cs="SimSun"/>
      <w:color w:val="0070C0"/>
      <w:sz w:val="24"/>
      <w:szCs w:val="22"/>
    </w:rPr>
  </w:style>
  <w:style w:type="character" w:customStyle="1" w:styleId="17">
    <w:name w:val="16"/>
    <w:basedOn w:val="8"/>
    <w:qFormat/>
    <w:uiPriority w:val="0"/>
    <w:rPr>
      <w:rFonts w:ascii="SimSun" w:hAnsi="SimSun" w:eastAsia="SimSun" w:cs="SimSun"/>
      <w:color w:val="800080"/>
      <w:sz w:val="24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SimSun" w:hAnsi="SimSun" w:eastAsia="SimSun" w:cs="SimSun"/>
      <w:b/>
      <w:color w:val="000000"/>
      <w:kern w:val="44"/>
      <w:sz w:val="24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SimSun" w:hAnsi="SimSun" w:eastAsia="SimSun" w:cs="SimSun"/>
      <w:sz w:val="24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ascii="SimSun" w:hAnsi="SimSun" w:eastAsia="SimSun" w:cs="SimSun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ascii="SimSun" w:hAnsi="SimSun" w:eastAsia="SimSun" w:cs="SimSun"/>
      <w:color w:val="0070C0"/>
      <w:sz w:val="24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paragraph" w:customStyle="1" w:styleId="Title">
    <w:name w:val="Title"/>
    <w:rPr>
      <w:rFonts w:ascii="SimSun" w:hAnsi="SimSun" w:eastAsia="SimSun" w:cs="SimSun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Office Open XML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2026-06-26T10:42:11Z</dcterms:modified>
  <cp:revision>2</cp:revision>
  <dc:title>能智核——公共建筑风阀疑点核验与补证工作台</dc:title>
  <dc:subject>智慧能源与环境</dc:subject>
  <dc:description/>
</cp:coreProperties>
</file>