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pacing w:before="0" w:after="80" w:line="293" w:lineRule="auto"/>
      </w:pPr>
      <w:r>
        <w:rPr>
          <w:rFonts w:ascii="SimSun" w:hAnsi="SimSun" w:eastAsia="SimSun" w:cs="SimSun"/>
          <w:b w:val="0"/>
          <w:color w:val="000000"/>
          <w:sz w:val="21"/>
        </w:rPr>
        <w:t>附件3：</w:t>
      </w:r>
    </w:p>
    <w:p>
      <w:pPr>
        <w:keepNext/>
        <w:keepLines/>
        <w:widowControl/>
        <w:spacing w:before="100" w:after="120" w:line="293" w:lineRule="auto"/>
        <w:jc w:val="center"/>
      </w:pPr>
      <w:r>
        <w:rPr>
          <w:rFonts w:ascii="SimHei" w:hAnsi="SimHei" w:eastAsia="SimHei" w:cs="SimHei"/>
          <w:b/>
          <w:color w:val="000000"/>
          <w:sz w:val="28"/>
        </w:rPr>
        <w:t>第十二届中国研究生智慧城市技术与创意设计大赛</w:t>
      </w:r>
    </w:p>
    <w:p>
      <w:pPr>
        <w:pStyle w:val="Title"/>
        <w:keepNext/>
        <w:keepLines/>
        <w:widowControl/>
        <w:spacing w:before="100" w:after="120" w:line="293" w:lineRule="auto"/>
        <w:jc w:val="center"/>
      </w:pPr>
      <w:r>
        <w:rPr>
          <w:rFonts w:ascii="SimHei" w:hAnsi="SimHei" w:eastAsia="SimHei" w:cs="SimHei"/>
          <w:b/>
          <w:color w:val="000000"/>
          <w:sz w:val="32"/>
        </w:rPr>
        <w:t>创意设计赛项目商业计划书</w:t>
      </w:r>
    </w:p>
    <w:p>
      <w:pPr>
        <w:keepNext/>
        <w:keepLines/>
        <w:widowControl/>
        <w:spacing w:before="100" w:after="120" w:line="293" w:lineRule="auto"/>
        <w:jc w:val="center"/>
      </w:pPr>
      <w:r>
        <w:rPr>
          <w:rFonts w:ascii="SimHei" w:hAnsi="SimHei" w:eastAsia="SimHei" w:cs="SimHei"/>
          <w:b/>
          <w:color w:val="000000"/>
          <w:sz w:val="24"/>
        </w:rPr>
        <w:t>能智核——公共建筑风阀疑点核验与补证工作台</w:t>
      </w:r>
    </w:p>
    <w:p>
      <w:pPr>
        <w:keepNext w:val="0"/>
        <w:keepLines w:val="0"/>
        <w:widowControl/>
        <w:spacing w:before="0" w:after="80" w:line="293" w:lineRule="auto"/>
        <w:jc w:val="center"/>
      </w:pPr>
      <w:r>
        <w:rPr>
          <w:rFonts w:ascii="SimSun" w:hAnsi="SimSun" w:eastAsia="SimSun" w:cs="SimSun"/>
          <w:b w:val="0"/>
          <w:color w:val="000000"/>
          <w:sz w:val="21"/>
        </w:rPr>
        <w:t>参赛方向：智慧能源与环境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8"/>
        </w:rPr>
        <w:t>一、项目方案概述（不超过200字）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能智核面向公共建筑告警后的风阀疑点核查，将CSV导入、质量校验、工况适用性、证据与补证动作组织成可操作任务，导出可阅读核查卡。已有公开仿真范围原型和可靠性验证，真人价值实验包已备齐、尚待实施；拟在实际价值与现场适用性验证后探索本地工具及接入服务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8"/>
        </w:rPr>
        <w:t>二、项目团队（不超过200字）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项目工作覆盖数据处理、数值核验、软件交互及实验复核。建筑点位确认、参考答案独立复核和真实参与者招募仍需团队落实。本匿名方案不列成员、培养单位、指导教师和未证实的资历；现有能力以可运行软件和复现记录为证据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8"/>
        </w:rPr>
        <w:t>三、项目产品（服务）化（不超过2000字）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4"/>
        </w:rPr>
        <w:t>1.项目产品（服务）特性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一项核查任务从运行CSV开始，结束于一张能够交接的核查卡。卡片呈现输入转换、数据质量、有效工况、支持和限制证据、下一步动作以及源数据哈希。质量通过不等于设备正常；无法检验时明确需要的点位或时段，避免把不确定性隐藏在单一异常分数中。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当前可交付本地工作台、三个演示、原始公开CSV及可复现结果。只支持已验证的LBNL单风道仿真配置，不连接楼控执行器、不自动控制设备。真实建筑BDG2用能回放独立展示；真实设备接入仍需点位审查、参考校准和现场验证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4"/>
        </w:rPr>
        <w:t>2.产品（服务）化实施计划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先完成邀测参考答案的独立复核，再由团队招募5—10人，使用匹配不同任务与平衡顺序比较常规方式和工作台。记录时间、遗漏、错误归因及失败，检验是否改善实际任务。通过后再寻求授权的同类设备数据接入，由运维人员复核疑点，形成服务验收条件。现阶段没有已签试点或合作，不预设实验必然改善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8"/>
        </w:rPr>
        <w:t>四、项目产品（服务）市场与竞争（不超过2000字）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4"/>
        </w:rPr>
        <w:t>1.市场概述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拟面向校园、办公楼等公共建筑运维团队及能源服务方，聚焦告警解释与核查交接。目标用户与任务为项目假设，尚无采购访谈、有效客户数量或市场规模调查。当前展示价值是一个可以运行、可以复核、会说明证据不足的核查流程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4"/>
        </w:rPr>
        <w:t>2.竞争优势分析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常规曲线和表格能展示原始信息，需要人员自行核对单位、时长与证据；工作台增加自动检查、有效窗口与核查卡。是否减少关键遗漏或核查时间，必须通过真实任务对照确认。专业楼控和故障诊断产品需另做功能与现场对标，不能把自建固定阈值当作商业产品，也不能据此认定行业领先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3096"/>
        <w:gridCol w:w="3600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  <w:shd w:fill="EDF3EF"/>
          </w:tcPr>
          <w:p>
            <w:pPr>
              <w:keepNext/>
              <w:keepLines/>
              <w:widowControl/>
              <w:spacing w:before="100" w:after="120" w:line="293" w:lineRule="auto"/>
              <w:jc w:val="left"/>
            </w:pPr>
            <w:r>
              <w:rPr>
                <w:rFonts w:ascii="SimHei" w:hAnsi="SimHei" w:eastAsia="SimHei" w:cs="SimHei"/>
                <w:b/>
                <w:color w:val="000000"/>
                <w:sz w:val="21"/>
              </w:rPr>
              <w:t>证据状态</w:t>
            </w:r>
          </w:p>
        </w:tc>
        <w:tc>
          <w:tcPr>
            <w:tcW w:type="dxa" w:w="309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  <w:shd w:fill="EDF3EF"/>
          </w:tcPr>
          <w:p>
            <w:pPr>
              <w:keepNext/>
              <w:keepLines/>
              <w:widowControl/>
              <w:spacing w:before="100" w:after="120" w:line="293" w:lineRule="auto"/>
              <w:jc w:val="left"/>
            </w:pPr>
            <w:r>
              <w:rPr>
                <w:rFonts w:ascii="SimHei" w:hAnsi="SimHei" w:eastAsia="SimHei" w:cs="SimHei"/>
                <w:b/>
                <w:color w:val="000000"/>
                <w:sz w:val="21"/>
              </w:rPr>
              <w:t>已有依据</w:t>
            </w:r>
          </w:p>
        </w:tc>
        <w:tc>
          <w:tcPr>
            <w:tcW w:type="dxa" w:w="360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  <w:shd w:fill="EDF3EF"/>
          </w:tcPr>
          <w:p>
            <w:pPr>
              <w:keepNext/>
              <w:keepLines/>
              <w:widowControl/>
              <w:spacing w:before="100" w:after="120" w:line="293" w:lineRule="auto"/>
              <w:jc w:val="left"/>
            </w:pPr>
            <w:r>
              <w:rPr>
                <w:rFonts w:ascii="SimHei" w:hAnsi="SimHei" w:eastAsia="SimHei" w:cs="SimHei"/>
                <w:b/>
                <w:color w:val="000000"/>
                <w:sz w:val="21"/>
              </w:rPr>
              <w:t>尚不能证明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已实现</w:t>
            </w:r>
          </w:p>
        </w:tc>
        <w:tc>
          <w:tcPr>
            <w:tcW w:type="dxa" w:w="309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CSV映射到核查卡、双维度结果</w:t>
            </w:r>
          </w:p>
        </w:tc>
        <w:tc>
          <w:tcPr>
            <w:tcW w:type="dxa" w:w="360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任意楼宇即接即用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已验证</w:t>
            </w:r>
          </w:p>
        </w:tc>
        <w:tc>
          <w:tcPr>
            <w:tcW w:type="dxa" w:w="309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2项反例拦截；56基础工况回归</w:t>
            </w:r>
          </w:p>
        </w:tc>
        <w:tc>
          <w:tcPr>
            <w:tcW w:type="dxa" w:w="360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通用三分类、零误报、算法优势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待验证</w:t>
            </w:r>
          </w:p>
        </w:tc>
        <w:tc>
          <w:tcPr>
            <w:tcW w:type="dxa" w:w="3096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真人实验包及独立复核流程</w:t>
            </w:r>
          </w:p>
        </w:tc>
        <w:tc>
          <w:tcPr>
            <w:tcW w:type="dxa" w:w="3600"/>
            <w:vAlign w:val="center"/>
            <w:tcBorders>
              <w:top w:val="single" w:sz="4" w:color="BBCBC5"/>
              <w:left w:val="single" w:sz="4" w:color="BBCBC5"/>
              <w:bottom w:val="single" w:sz="4" w:color="BBCBC5"/>
              <w:right w:val="single" w:sz="4" w:color="BBCBC5"/>
            </w:tcBorders>
          </w:tcPr>
          <w:p>
            <w:pPr>
              <w:keepNext w:val="0"/>
              <w:keepLines w:val="0"/>
              <w:widowControl/>
              <w:spacing w:before="0" w:after="80" w:line="293" w:lineRule="auto"/>
              <w:jc w:val="left"/>
            </w:pPr>
            <w:r>
              <w:rPr>
                <w:rFonts w:ascii="SimSun" w:hAnsi="SimSun" w:eastAsia="SimSun" w:cs="SimSun"/>
                <w:b w:val="0"/>
                <w:color w:val="000000"/>
                <w:sz w:val="21"/>
              </w:rPr>
              <w:t>人工提效、付费意愿、节能收益</w:t>
            </w:r>
          </w:p>
        </w:tc>
      </w:tr>
    </w:tbl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4"/>
        </w:rPr>
        <w:t>3.项目实施风险及应对措施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主要风险是工况不足、点位口径差异和候选证据不足。历史56个基础工况仅12个形成一致风阀候选，正常与泄漏对照全部未决；卡滞25%与75%组表现明显不均。产品保留失败、说明补证条件，不以放宽阈值提高表面覆盖。邀测还可能存在学习顺序、难度不匹配和小样本影响，需独立复核、顺序平衡，并报告逐人结果与超时失败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8"/>
        </w:rPr>
        <w:t>五、商业模式（不超过2000字）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4"/>
        </w:rPr>
        <w:t>1.项目产品（服务）的开发、生产（服务）策略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拟按已验证设备配置交付本地工具，配套数据字典、单位与时序审查、参考工况校准及人工复核说明。验收同时包含能够形成候选与必须保留未决的任务。软件和接入服务的边界应写入交付约定，不能由仿真结果直接承诺现场诊断效果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4"/>
        </w:rPr>
        <w:t>2.项目产品（服务）的营销策略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拟以可操作任务、三分钟实机演示和可阅读核查卡向目标使用方说明作用，先询问真实告警流程及可提供点位，再讨论试用范围。当前没有客户名单、合同、宣传转化数据或专家背书。不能用“零误报”“自适应提效”等未成立主张吸引采购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4"/>
        </w:rPr>
        <w:t>3.项目产品（服务）获利方式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可探索同类设备的一次性接入配置与本地软件维护服务，具体收费、维护投入和付费意愿均待实证。需要先取得真实任务质量和实施成本记录，才具备核算服务利润的基础。当前不列未经验证的定价、收入或收益预测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4"/>
        </w:rPr>
        <w:t>4.（若创业）企业发展计划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暂无可确认的创业主体或融资事实。若真人任务与现场适用性验证均成立，再形成服务规格、责任界限和组织安排；不以计划代替已完成成果。</w:t>
      </w:r>
    </w:p>
    <w:p>
      <w:pPr>
        <w:keepNext/>
        <w:keepLines/>
        <w:widowControl/>
        <w:spacing w:before="100" w:after="120" w:line="293" w:lineRule="auto"/>
      </w:pPr>
      <w:r>
        <w:rPr>
          <w:rFonts w:ascii="SimHei" w:hAnsi="SimHei" w:eastAsia="SimHei" w:cs="SimHei"/>
          <w:b/>
          <w:color w:val="000000"/>
          <w:sz w:val="28"/>
        </w:rPr>
        <w:t>六、预期经济效益分析（不超过500字）</w:t>
      </w:r>
    </w:p>
    <w:p>
      <w:pPr>
        <w:keepNext w:val="0"/>
        <w:keepLines w:val="0"/>
        <w:widowControl/>
        <w:spacing w:before="0" w:after="80" w:line="283" w:lineRule="auto"/>
      </w:pPr>
      <w:r>
        <w:rPr>
          <w:rFonts w:ascii="SimSun" w:hAnsi="SimSun" w:eastAsia="SimSun" w:cs="SimSun"/>
          <w:b w:val="0"/>
          <w:color w:val="000000"/>
          <w:sz w:val="22"/>
        </w:rPr>
        <w:t>拟检验的价值是减少依据遗漏、错误归因和反复核查，但目前真实参与者0人，没有工时节约或现场节能测量结果。历史回归中工作台、固定阈值及消融均为12/56一致风阀候选，没有性能优势证据。查询次数、程序毫秒耗时及自身工程修复均不能折算为人工效率或节能收益。后续应先完成真实人员对照与独立评分，若质量相近且任务成本降低，再讨论服务价值；节能收益还须在现场措施实施后另行验证。</w:t>
      </w:r>
    </w:p>
    <w:sectPr>
      <w:footerReference r:id="rId3" w:type="default"/>
      <w:headerReference w:type="default" r:id="rId7"/>
      <w:pgSz w:w="11906" w:h="16838"/>
      <w:pgMar w:top="1440" w:right="1800" w:bottom="1440" w:left="1800" w:header="851" w:footer="992" w:gutter="0"/>
      <w:cols w:space="425" w:num="1"/>
    </w:sectPr>
  </w:body>
</w:document>
</file>

<file path=word/fontTable.xml><?xml version="1.0" encoding="utf-8"?>
<w:fonts xmlns:w="http://schemas.openxmlformats.org/wordprocessingml/2006/main">
  <w:font w:name="SimSun"/>
  <w:font w:name="SimHei"/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288CFF">
    <w:pPr>
      <w:pStyle w:val="3"/>
      <w:keepNext w:val="0"/>
      <w:keepLines w:val="0"/>
      <w:widowControl/>
      <w:spacing w:before="0" w:after="80" w:line="293" w:lineRule="auto"/>
    </w:pPr>
    <w:r>
      <w:rPr>
        <w:rFonts w:ascii="SimSun" w:hAnsi="SimSun" w:eastAsia="SimSun" w:cs="SimSun"/>
        <w:b w:val="0"/>
        <w:color w:val="000000"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8FF55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L0O3bcsAgAAV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PQa5aFrd5ZHqGj&#10;eN6ujgECtrpGUToleq3QbW1l+smI7fznvo16+hssH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z&#10;SVju0AAAAAUBAAAPAAAAAAAAAAEAIAAAACIAAABkcnMvZG93bnJldi54bWxQSwECFAAUAAAACACH&#10;TuJAvQ7dtywCAABVBAAADgAAAAAAAAABACAAAAAf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48FF55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 w:val="0"/>
      <w:widowControl/>
      <w:spacing w:before="0" w:after="80" w:line="293" w:lineRule="aut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165"/>
    <w:rsid w:val="00031165"/>
    <w:rsid w:val="0037319A"/>
    <w:rsid w:val="005123E3"/>
    <w:rsid w:val="005D78D3"/>
    <w:rsid w:val="005F7FC1"/>
    <w:rsid w:val="006022A5"/>
    <w:rsid w:val="006B55D6"/>
    <w:rsid w:val="00727B81"/>
    <w:rsid w:val="007E416A"/>
    <w:rsid w:val="00971413"/>
    <w:rsid w:val="00B40E5B"/>
    <w:rsid w:val="00C23A47"/>
    <w:rsid w:val="00EF0A52"/>
    <w:rsid w:val="00FA1DE6"/>
    <w:rsid w:val="035E7A16"/>
    <w:rsid w:val="06941DC6"/>
    <w:rsid w:val="19F6DA34"/>
    <w:rsid w:val="1C2838BF"/>
    <w:rsid w:val="1D485456"/>
    <w:rsid w:val="1F6B6AC0"/>
    <w:rsid w:val="1FFFE5BD"/>
    <w:rsid w:val="28CA642A"/>
    <w:rsid w:val="2BDF9E85"/>
    <w:rsid w:val="333FDE2C"/>
    <w:rsid w:val="3F67793C"/>
    <w:rsid w:val="42B0500A"/>
    <w:rsid w:val="4E7E31A0"/>
    <w:rsid w:val="56FBDE94"/>
    <w:rsid w:val="57F3806F"/>
    <w:rsid w:val="5A1866DC"/>
    <w:rsid w:val="5BCF7AD3"/>
    <w:rsid w:val="5D6737D9"/>
    <w:rsid w:val="5F7104CA"/>
    <w:rsid w:val="5FF7D9B7"/>
    <w:rsid w:val="61302E91"/>
    <w:rsid w:val="65E81C09"/>
    <w:rsid w:val="68FE2FAA"/>
    <w:rsid w:val="6AEFC613"/>
    <w:rsid w:val="6C0543DC"/>
    <w:rsid w:val="6C305F8D"/>
    <w:rsid w:val="6D7B6243"/>
    <w:rsid w:val="729F83BF"/>
    <w:rsid w:val="73AFC5D2"/>
    <w:rsid w:val="74EE481B"/>
    <w:rsid w:val="7BE7BF6D"/>
    <w:rsid w:val="7DEB5D9B"/>
    <w:rsid w:val="7EBF4FF9"/>
    <w:rsid w:val="7EF214DF"/>
    <w:rsid w:val="7F3FB076"/>
    <w:rsid w:val="7FA3E9E9"/>
    <w:rsid w:val="7FFC1E6F"/>
    <w:rsid w:val="95F7AE71"/>
    <w:rsid w:val="AFAFA80C"/>
    <w:rsid w:val="BEDDDA19"/>
    <w:rsid w:val="CD9D93A6"/>
    <w:rsid w:val="D2DFB62A"/>
    <w:rsid w:val="D7F3D222"/>
    <w:rsid w:val="D7FF1812"/>
    <w:rsid w:val="DBDD2C26"/>
    <w:rsid w:val="DDC75C74"/>
    <w:rsid w:val="E7DF63B9"/>
    <w:rsid w:val="EFFFCDC6"/>
    <w:rsid w:val="EFFFCFFB"/>
    <w:rsid w:val="F4FFBB93"/>
    <w:rsid w:val="F57B7FA2"/>
    <w:rsid w:val="F9A4F9A6"/>
    <w:rsid w:val="FBA7009F"/>
    <w:rsid w:val="FBDF64D5"/>
    <w:rsid w:val="FBEF3ABD"/>
    <w:rsid w:val="FDEECDC1"/>
    <w:rsid w:val="FDF4B82A"/>
    <w:rsid w:val="FDF7CF12"/>
    <w:rsid w:val="FEFE7C39"/>
    <w:rsid w:val="FF5F2A4D"/>
    <w:rsid w:val="FFE7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SimSun" w:hAnsi="SimSun" w:eastAsia="SimSun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SimSun" w:hAnsi="SimSun" w:eastAsia="SimSun" w:cs="SimSun"/>
      <w:kern w:val="2"/>
      <w:sz w:val="24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  <w:rPr>
      <w:rFonts w:ascii="SimSun" w:hAnsi="SimSun" w:eastAsia="SimSun" w:cs="SimSun"/>
      <w:sz w:val="24"/>
    </w:rPr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spacing w:line="360" w:lineRule="auto"/>
      <w:ind w:firstLine="200" w:firstLineChars="200"/>
    </w:pPr>
    <w:rPr>
      <w:rFonts w:ascii="SimSun" w:hAnsi="SimSun" w:eastAsia="SimSun" w:cs="SimSun"/>
      <w:sz w:val="24"/>
      <w:szCs w:val="3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SimSun" w:hAnsi="SimSun" w:eastAsia="SimSun" w:cs="SimSun"/>
      <w:sz w:val="24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rFonts w:ascii="SimSun" w:hAnsi="SimSun" w:eastAsia="SimSun" w:cs="SimSun"/>
      <w:sz w:val="24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ascii="SimSun" w:hAnsi="SimSun" w:eastAsia="SimSun" w:cs="SimSun"/>
      <w:kern w:val="0"/>
      <w:sz w:val="24"/>
    </w:rPr>
  </w:style>
  <w:style w:type="table" w:styleId="7">
    <w:name w:val="Table Grid"/>
    <w:basedOn w:val="6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styleId="9">
    <w:name w:val="Hyperlink"/>
    <w:basedOn w:val="8"/>
    <w:qFormat/>
    <w:uiPriority w:val="0"/>
    <w:rPr>
      <w:rFonts w:ascii="SimSun" w:hAnsi="SimSun" w:eastAsia="SimSun" w:cs="SimSun"/>
      <w:color w:val="0000FF"/>
      <w:sz w:val="24"/>
      <w:u w:val="single"/>
    </w:rPr>
  </w:style>
  <w:style w:type="character" w:customStyle="1" w:styleId="10">
    <w:name w:val="10"/>
    <w:basedOn w:val="8"/>
    <w:qFormat/>
    <w:uiPriority w:val="0"/>
    <w:rPr>
      <w:rFonts w:ascii="SimSun" w:hAnsi="SimSun" w:eastAsia="SimSun" w:cs="SimSun"/>
      <w:sz w:val="24"/>
    </w:rPr>
  </w:style>
  <w:style w:type="character" w:customStyle="1" w:styleId="11">
    <w:name w:val="15"/>
    <w:basedOn w:val="8"/>
    <w:qFormat/>
    <w:uiPriority w:val="0"/>
    <w:rPr>
      <w:rFonts w:ascii="SimSun" w:hAnsi="SimSun" w:eastAsia="SimSun" w:cs="SimSun"/>
      <w:b/>
      <w:sz w:val="24"/>
    </w:rPr>
  </w:style>
  <w:style w:type="paragraph" w:customStyle="1" w:styleId="12">
    <w:name w:val="指南标题3"/>
    <w:qFormat/>
    <w:uiPriority w:val="0"/>
    <w:pPr>
      <w:keepNext/>
      <w:keepLines/>
      <w:widowControl w:val="0"/>
      <w:spacing w:line="360" w:lineRule="auto"/>
      <w:outlineLvl w:val="2"/>
    </w:pPr>
    <w:rPr>
      <w:rFonts w:ascii="SimSun" w:hAnsi="SimSun" w:eastAsia="SimSun" w:cs="SimSun"/>
      <w:b/>
      <w:color w:val="000000"/>
      <w:kern w:val="2"/>
      <w:sz w:val="24"/>
      <w:szCs w:val="32"/>
      <w:lang w:val="en-US" w:eastAsia="zh-CN" w:bidi="ar-SA"/>
    </w:rPr>
  </w:style>
  <w:style w:type="paragraph" w:customStyle="1" w:styleId="13">
    <w:name w:val="Table Text"/>
    <w:basedOn w:val="1"/>
    <w:hidden/>
    <w:qFormat/>
    <w:uiPriority w:val="0"/>
    <w:pPr>
      <w:spacing w:before="127" w:line="360" w:lineRule="auto"/>
      <w:jc w:val="center"/>
    </w:pPr>
    <w:rPr>
      <w:rFonts w:ascii="SimSun" w:hAnsi="SimSun" w:eastAsia="SimSun" w:cs="SimSun"/>
      <w:sz w:val="24"/>
      <w:szCs w:val="28"/>
    </w:rPr>
  </w:style>
  <w:style w:type="paragraph" w:customStyle="1" w:styleId="14">
    <w:name w:val="指南标题2"/>
    <w:qFormat/>
    <w:uiPriority w:val="0"/>
    <w:pPr>
      <w:keepNext/>
      <w:keepLines/>
      <w:widowControl w:val="0"/>
      <w:spacing w:line="360" w:lineRule="auto"/>
      <w:outlineLvl w:val="1"/>
    </w:pPr>
    <w:rPr>
      <w:rFonts w:ascii="SimSun" w:hAnsi="SimSun" w:eastAsia="SimSun" w:cs="SimSun"/>
      <w:b/>
      <w:color w:val="000000"/>
      <w:kern w:val="2"/>
      <w:sz w:val="24"/>
      <w:szCs w:val="32"/>
      <w:lang w:val="en-US" w:eastAsia="zh-CN" w:bidi="ar-SA"/>
    </w:rPr>
  </w:style>
  <w:style w:type="character" w:customStyle="1" w:styleId="15">
    <w:name w:val="17"/>
    <w:basedOn w:val="8"/>
    <w:qFormat/>
    <w:uiPriority w:val="0"/>
    <w:rPr>
      <w:rFonts w:ascii="SimSun" w:hAnsi="SimSun" w:eastAsia="SimSun" w:cs="SimSun"/>
      <w:color w:val="FF0000"/>
      <w:sz w:val="24"/>
      <w:szCs w:val="24"/>
    </w:rPr>
  </w:style>
  <w:style w:type="character" w:customStyle="1" w:styleId="16">
    <w:name w:val="18"/>
    <w:basedOn w:val="8"/>
    <w:qFormat/>
    <w:uiPriority w:val="0"/>
    <w:rPr>
      <w:rFonts w:ascii="SimSun" w:hAnsi="SimSun" w:eastAsia="SimSun" w:cs="SimSun"/>
      <w:color w:val="0070C0"/>
      <w:sz w:val="24"/>
      <w:szCs w:val="22"/>
    </w:rPr>
  </w:style>
  <w:style w:type="character" w:customStyle="1" w:styleId="17">
    <w:name w:val="16"/>
    <w:basedOn w:val="8"/>
    <w:qFormat/>
    <w:uiPriority w:val="0"/>
    <w:rPr>
      <w:rFonts w:ascii="SimSun" w:hAnsi="SimSun" w:eastAsia="SimSun" w:cs="SimSun"/>
      <w:color w:val="800080"/>
      <w:sz w:val="24"/>
      <w:u w:val="single"/>
    </w:rPr>
  </w:style>
  <w:style w:type="paragraph" w:customStyle="1" w:styleId="18">
    <w:name w:val="正文-公1"/>
    <w:basedOn w:val="1"/>
    <w:qFormat/>
    <w:uiPriority w:val="0"/>
    <w:pPr>
      <w:spacing w:line="360" w:lineRule="auto"/>
      <w:ind w:firstLine="200" w:firstLineChars="200"/>
    </w:pPr>
    <w:rPr>
      <w:rFonts w:ascii="SimSun" w:hAnsi="SimSun" w:eastAsia="SimSun" w:cs="SimSun"/>
      <w:sz w:val="24"/>
      <w:szCs w:val="32"/>
    </w:rPr>
  </w:style>
  <w:style w:type="paragraph" w:customStyle="1" w:styleId="19">
    <w:name w:val="指南标题1"/>
    <w:qFormat/>
    <w:uiPriority w:val="0"/>
    <w:pPr>
      <w:keepNext/>
      <w:keepLines/>
      <w:widowControl w:val="0"/>
      <w:spacing w:after="120" w:line="360" w:lineRule="auto"/>
      <w:jc w:val="center"/>
      <w:outlineLvl w:val="0"/>
    </w:pPr>
    <w:rPr>
      <w:rFonts w:ascii="SimSun" w:hAnsi="SimSun" w:eastAsia="SimSun" w:cs="SimSun"/>
      <w:b/>
      <w:color w:val="000000"/>
      <w:kern w:val="44"/>
      <w:sz w:val="24"/>
      <w:szCs w:val="36"/>
      <w:lang w:val="en-US" w:eastAsia="zh-CN" w:bidi="ar-SA"/>
    </w:rPr>
  </w:style>
  <w:style w:type="paragraph" w:customStyle="1" w:styleId="20">
    <w:name w:val="指南标题"/>
    <w:basedOn w:val="1"/>
    <w:qFormat/>
    <w:uiPriority w:val="0"/>
    <w:pPr>
      <w:spacing w:line="360" w:lineRule="auto"/>
      <w:ind w:left="1433" w:hanging="1433" w:hangingChars="398"/>
      <w:jc w:val="center"/>
    </w:pPr>
    <w:rPr>
      <w:rFonts w:ascii="SimSun" w:hAnsi="SimSun" w:eastAsia="SimSun" w:cs="SimSun"/>
      <w:sz w:val="24"/>
      <w:szCs w:val="36"/>
    </w:rPr>
  </w:style>
  <w:style w:type="table" w:customStyle="1" w:styleId="21">
    <w:name w:val="Table Normal1"/>
    <w:basedOn w:val="6"/>
    <w:qFormat/>
    <w:uiPriority w:val="0"/>
    <w:tblPr>
      <w:tblCellMar>
        <w:left w:w="0" w:type="dxa"/>
        <w:right w:w="0" w:type="dxa"/>
      </w:tblCellMar>
    </w:tblPr>
  </w:style>
  <w:style w:type="character" w:customStyle="1" w:styleId="22">
    <w:name w:val="font61"/>
    <w:basedOn w:val="8"/>
    <w:autoRedefine/>
    <w:qFormat/>
    <w:uiPriority w:val="0"/>
    <w:rPr>
      <w:rFonts w:ascii="SimSun" w:hAnsi="SimSun" w:eastAsia="SimSun" w:cs="SimSun"/>
      <w:color w:val="FF0000"/>
      <w:sz w:val="24"/>
      <w:szCs w:val="24"/>
      <w:u w:val="none"/>
    </w:rPr>
  </w:style>
  <w:style w:type="character" w:customStyle="1" w:styleId="23">
    <w:name w:val="font31"/>
    <w:basedOn w:val="8"/>
    <w:autoRedefine/>
    <w:qFormat/>
    <w:uiPriority w:val="0"/>
    <w:rPr>
      <w:rFonts w:ascii="SimSun" w:hAnsi="SimSun" w:eastAsia="SimSun" w:cs="SimSun"/>
      <w:color w:val="0070C0"/>
      <w:sz w:val="24"/>
      <w:szCs w:val="22"/>
      <w:u w:val="none"/>
    </w:rPr>
  </w:style>
  <w:style w:type="paragraph" w:customStyle="1" w:styleId="24">
    <w:name w:val="Revision"/>
    <w:hidden/>
    <w:unhideWhenUsed/>
    <w:qFormat/>
    <w:uiPriority w:val="99"/>
    <w:rPr>
      <w:rFonts w:ascii="SimSun" w:hAnsi="SimSun" w:eastAsia="SimSun" w:cs="SimSun"/>
      <w:kern w:val="2"/>
      <w:sz w:val="24"/>
      <w:szCs w:val="24"/>
      <w:lang w:val="en-US" w:eastAsia="zh-CN" w:bidi="ar-SA"/>
    </w:rPr>
  </w:style>
  <w:style w:type="paragraph" w:customStyle="1" w:styleId="Title">
    <w:name w:val="Title"/>
    <w:rPr>
      <w:rFonts w:ascii="SimSun" w:hAnsi="SimSun" w:eastAsia="SimSun" w:cs="SimSun"/>
      <w:sz w:val="24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0</TotalTime>
  <ScaleCrop>false</ScaleCrop>
  <LinksUpToDate>false</LinksUpToDate>
  <Application>Office Open XML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2025-06-04T12:42:00Z</dcterms:created>
  <dc:creator/>
  <cp:lastModifiedBy/>
  <dcterms:modified xsi:type="dcterms:W3CDTF">2026-06-26T10:42:36Z</dcterms:modified>
  <cp:revision>2</cp:revision>
  <dc:title>能智核——公共建筑风阀疑点核验与补证工作台</dc:title>
  <dc:subject>智慧能源与环境</dc:subject>
  <dc:description/>
</cp:coreProperties>
</file>