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keepNext w:val="0"/>
        <w:keepLines w:val="0"/>
        <w:widowControl/>
        <w:spacing w:line="293" w:lineRule="auto" w:before="0" w:after="80"/>
        <w:ind w:left="1114" w:hangingChars="398"/>
        <w:jc w:val="lef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b w:val="0"/>
          <w:color w:val="000000"/>
          <w:sz w:val="21"/>
          <w:szCs w:val="28"/>
        </w:rPr>
        <w:t>附件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1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：</w:t>
      </w:r>
    </w:p>
    <w:p w14:paraId="4C609DEA">
      <w:pPr>
        <w:keepNext/>
        <w:keepLines/>
        <w:widowControl/>
        <w:spacing w:line="293" w:lineRule="auto" w:before="100" w:after="120"/>
        <w:jc w:val="center"/>
        <w:rPr>
          <w:rFonts w:ascii="SimSun" w:hAnsi="SimSun" w:eastAsia="SimSun" w:cs="SimSun"/>
          <w:sz w:val="36"/>
          <w:szCs w:val="36"/>
        </w:rPr>
      </w:pPr>
      <w:r>
        <w:rPr>
          <w:rFonts w:ascii="SimHei" w:hAnsi="SimHei" w:eastAsia="SimHei" w:cs="SimHei"/>
          <w:b/>
          <w:color w:val="000000"/>
          <w:sz w:val="28"/>
          <w:szCs w:val="36"/>
        </w:rPr>
        <w:t>第</w:t>
      </w:r>
      <w:r>
        <w:rPr>
          <w:rFonts w:ascii="SimHei" w:hAnsi="SimHei" w:eastAsia="SimHei" w:cs="SimHei"/>
          <w:b/>
          <w:color w:val="000000"/>
          <w:sz w:val="28"/>
          <w:szCs w:val="36"/>
          <w:lang w:eastAsia="zh-Hans"/>
        </w:rPr>
        <w:t>十</w:t>
      </w:r>
      <w:r>
        <w:rPr>
          <w:rFonts w:ascii="SimHei" w:hAnsi="SimHei" w:eastAsia="SimHei" w:cs="SimHei"/>
          <w:b/>
          <w:color w:val="000000"/>
          <w:sz w:val="28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keepNext/>
        <w:keepLines/>
        <w:widowControl/>
        <w:spacing w:line="293" w:lineRule="auto" w:before="100" w:after="120"/>
        <w:ind w:left="210" w:leftChars="100" w:right="210" w:rightChars="100"/>
        <w:jc w:val="center"/>
        <w:rPr>
          <w:rFonts w:ascii="SimSun" w:hAnsi="SimSun" w:eastAsia="SimSun" w:cs="SimSun"/>
          <w:sz w:val="36"/>
          <w:szCs w:val="36"/>
        </w:rPr>
      </w:pPr>
      <w:bookmarkStart w:id="2" w:name="_Toc108088507"/>
      <w:bookmarkStart w:id="3" w:name="_Toc7210846"/>
      <w:r>
        <w:rPr>
          <w:rFonts w:ascii="SimHei" w:hAnsi="SimHei" w:eastAsia="SimHei" w:cs="SimHei"/>
          <w:b/>
          <w:color w:val="000000"/>
          <w:sz w:val="28"/>
          <w:szCs w:val="36"/>
        </w:rPr>
        <w:t>创意设计赛</w:t>
      </w:r>
      <w:bookmarkEnd w:id="0"/>
      <w:bookmarkEnd w:id="1"/>
      <w:r>
        <w:rPr>
          <w:rFonts w:ascii="SimHei" w:hAnsi="SimHei" w:eastAsia="SimHei" w:cs="SimHei"/>
          <w:b/>
          <w:color w:val="000000"/>
          <w:sz w:val="28"/>
          <w:szCs w:val="36"/>
        </w:rPr>
        <w:t>项目简表</w:t>
      </w:r>
      <w:bookmarkEnd w:id="2"/>
      <w:bookmarkEnd w:id="3"/>
    </w:p>
    <w:p w14:paraId="5CA8D785">
      <w:pPr>
        <w:keepNext w:val="0"/>
        <w:keepLines w:val="0"/>
        <w:widowControl/>
        <w:spacing w:line="293" w:lineRule="auto" w:before="0" w:after="80"/>
        <w:jc w:val="center"/>
        <w:rPr>
          <w:rFonts w:ascii="SimSun" w:hAnsi="SimSun" w:eastAsia="SimSun" w:cs="SimSun"/>
          <w:sz w:val="28"/>
          <w:szCs w:val="36"/>
        </w:rPr>
      </w:pPr>
      <w:r>
        <w:rPr>
          <w:rFonts w:ascii="SimSun" w:hAnsi="SimSun" w:eastAsia="SimSun" w:cs="SimSun"/>
          <w:b w:val="0"/>
          <w:color w:val="000000"/>
          <w:sz w:val="21"/>
        </w:rPr>
        <w:t>能智核——公共建筑风阀疑点核验与补证工作台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作品名称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能智核——公共建筑风阀疑点核验与补证工作台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团队名称</w:t>
            </w:r>
          </w:p>
        </w:tc>
        <w:tc>
          <w:tcPr>
            <w:tcW w:w="8698" w:type="dxa"/>
            <w:gridSpan w:val="4"/>
            <w:vAlign w:val="center"/>
          </w:tcPr>
          <w:p w14:paraId="368C5AB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参赛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lang w:eastAsia="zh-Hans"/>
              </w:rPr>
              <w:t>赛道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/</w:t>
            </w:r>
          </w:p>
          <w:p w14:paraId="781AD66F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1—11为定向赛道：</w:t>
              <w:br/>
              <w:t>1. 低空经济与空天科技 □    2. 智慧交通与数字孪生 □</w:t>
              <w:br/>
              <w:t>3. 智能建造与城市更新 □    4. 未来城市与太空人居 □</w:t>
              <w:br/>
              <w:t>5. 智慧文旅与乡村振兴 □    6. 智慧能源与环境 ☑</w:t>
              <w:br/>
              <w:t>7. 韧性城市与智慧应急 □    8. AI与具身智能 □</w:t>
              <w:br/>
              <w:t>9. 智慧生活与大健康 □    10. 城市运维与安全 □</w:t>
              <w:br/>
              <w:t>11. 智能材料与绿色建造 □    12. 自由赛道 □</w:t>
              <w:br/>
              <w:t>13. 企业揭榜赛道 □    14. 地方特色赛道 □</w:t>
            </w: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队长姓名</w:t>
            </w:r>
          </w:p>
        </w:tc>
        <w:tc>
          <w:tcPr>
            <w:tcW w:w="3034" w:type="dxa"/>
            <w:gridSpan w:val="2"/>
            <w:vAlign w:val="center"/>
          </w:tcPr>
          <w:p w14:paraId="7D0B2BB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1842" w:type="dxa"/>
            <w:shd w:val="clear" w:color="auto" w:fill="E7E6E6"/>
            <w:vAlign w:val="center"/>
          </w:tcPr>
          <w:p w14:paraId="4622BAB2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队长联系电话</w:t>
            </w:r>
          </w:p>
        </w:tc>
        <w:tc>
          <w:tcPr>
            <w:tcW w:w="3822" w:type="dxa"/>
            <w:vAlign w:val="center"/>
          </w:tcPr>
          <w:p w14:paraId="68AE79EB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团队成员</w:t>
            </w:r>
          </w:p>
        </w:tc>
        <w:tc>
          <w:tcPr>
            <w:tcW w:w="8698" w:type="dxa"/>
            <w:gridSpan w:val="4"/>
            <w:vAlign w:val="center"/>
          </w:tcPr>
          <w:p w14:paraId="444BB825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keepNext w:val="0"/>
              <w:keepLines w:val="0"/>
              <w:widowControl/>
              <w:autoSpaceDN w:val="0"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报告内容</w:t>
            </w:r>
          </w:p>
          <w:p w14:paraId="252E61EB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共建筑用能告警发生后，管理人员仍需核对数据是否可信、设备是否处于可检验工况，以及下一步应补哪个点位或时段。能智核面向这一核查环节，提供数据质量与设备证据分开呈现的工作台。当前以公开单风道空调机组仿真数据实现核验，以BDG2独立展示真实用能回放，服务于有边界、可复查的异常核查。</w:t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把“告警之后先查什么”转化为可操作流程：先校验单位和真实时间间隔，再检查每项故障假设的适用条件；有支持证据时给出候选，缺点位、缺工况或证据冲突时给出具体补证要求。已有本地软件、三个案例、公开原始CSV导入和可阅读核查卡；真人价值对照包待独立复核与招募。特色在证据约束的产品流程，不主张已证明新的诊断算法。</w:t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选择LBNL单风道机组公开仿真日片段，映射时间列、点位、单位及采样间隔。程序显式转换温度与指令单位，将完整1分钟桶聚合为5分钟；缺失值保留，间隔不符则拒绝。服务、诊断证据、质量卡和导出复用同一质量对象。通过质量校验后，程序按启停、稳定运行、温差和关阀持续时长生成证据窗口，分别核验风路、盘管和运行工况。界面呈现支持与限制证据、分支状态及补证条件；修正数据或修改证据后真实重算。导出的HTML核查卡可离线阅读和打印，并记录源数据哈希、映射及运行编号。设备范围限于当前仿真配置，真实建筑回放不参与故障定位。</w:t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</w:t>
            </w: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潜在使用方为公共建筑运维团队及能源服务方，拟提供按设备点位配置的本地核查工具和接入服务。现阶段仅完成公开数据原型与功能验证，尚无试点、合作或收入事实。后续需经合法数据接入、工程师复核和现场验证后再确定收费。节能机会筛查为附属方向，当前不承诺节能量、人工工时或运维收益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作品技术</w:t>
            </w:r>
          </w:p>
          <w:p w14:paraId="5E9AB716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作品所处</w:t>
            </w:r>
          </w:p>
          <w:p w14:paraId="091CD7F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创意设计类；基础研究类；</w:t>
              <w:br/>
              <w:t>☑软硬件开发类；工程实施类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国际领先；国际先进；国内领先；国内先进；</w:t>
              <w:br/>
              <w:t>国内一般；☑无法判断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□硬件 ☑软件 □工艺 □方法 □服务 □商业模式</w:t>
              <w:br/>
              <w:t>□其他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□第1级 □第2级 ☑第3级 □第4级</w:t>
              <w:br/>
              <w:t>□第5级 □第6级 □第7级 □第8级 □第9级</w:t>
              <w:br/>
              <w:t>自评：已完成公开仿真概念验证，尚无现场应用验证。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国际产品/技术/标准；国内产品/技术/标准：未开展独立对标。</w:t>
              <w:br/>
              <w:t>固定阈值为自建工程基线，非行业产品；没有优势证据。</w:t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关键指标</w:t>
            </w:r>
          </w:p>
          <w:p w14:paraId="22BB756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提升情况：（</w:t>
            </w: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历史一致候选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21.43%</w:t>
                    <w:br/>
                    <w:t>12/56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21.43%</w:t>
                    <w:br/>
                    <w:t>12/56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0</w:t>
                    <w:br/>
                    <w:t>个百分点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自建固定温差阈值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审核反例正确拦截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2/2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0/2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不作泛化</w:t>
                    <w:br/>
                    <w:t>提升率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原两项反例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原始CSV至核查卡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1个完整</w:t>
                    <w:br/>
                    <w:t>任务通过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无导入</w:t>
                    <w:br/>
                    <w:t>入口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原预置案例流程</w:t>
                  </w:r>
                </w:p>
              </w:tc>
            </w:tr>
          </w:tbl>
          <w:p w14:paraId="290D257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</w:p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注：主口径56个基础日工况、14日期、2日期块；44个未决保留在分母。正常、泄漏召回仍为0；卡滞开度25%/75%分别1/14、11/14，不代表故障轻重。112条配对记录另作扰动回归，无新留出。2项反例和1项任务不构成泛化性能估计。</w:t>
            </w: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☑质量提升：消除两个已复现的质量/时长错误。</w:t>
              <w:br/>
              <w:t>成本降低、效率提升、交付周期：未验证。</w:t>
              <w:br/>
              <w:t>☑新功能实现：原始CSV导入至可阅读核查卡。</w:t>
            </w:r>
          </w:p>
        </w:tc>
      </w:tr>
    </w:tbl>
    <w:p w14:paraId="44058CED">
      <w:pPr>
        <w:keepNext w:val="0"/>
        <w:keepLines w:val="0"/>
        <w:widowControl/>
        <w:spacing w:before="0" w:after="80" w:line="293" w:lineRule="auto"/>
      </w:pPr>
      <w:bookmarkStart w:id="8" w:name="_GoBack"/>
      <w:bookmarkEnd w:id="8"/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  <dc:title>能智核——公共建筑风阀疑点核验与补证工作台</dc:title>
  <dc:subject>智慧能源与环境</dc:subject>
  <dc:description/>
</cp:coreProperties>
</file>