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50CB2E">
      <w:pPr>
        <w:spacing w:line="360" w:lineRule="auto"/>
        <w:ind w:left="1114" w:hanging="1114" w:hangingChars="398"/>
        <w:jc w:val="left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</w:rPr>
        <w:t>附件</w:t>
      </w:r>
      <w:r>
        <w:rPr>
          <w:rFonts w:ascii="Times New Roman" w:hAnsi="Times New Roman" w:eastAsia="仿宋" w:cs="Times New Roman"/>
          <w:sz w:val="28"/>
          <w:szCs w:val="28"/>
        </w:rPr>
        <w:t>1</w:t>
      </w:r>
      <w:r>
        <w:rPr>
          <w:rFonts w:hint="eastAsia" w:ascii="Times New Roman" w:hAnsi="Times New Roman" w:eastAsia="仿宋" w:cs="Times New Roman"/>
          <w:sz w:val="28"/>
          <w:szCs w:val="28"/>
        </w:rPr>
        <w:t>：</w:t>
      </w:r>
    </w:p>
    <w:p w14:paraId="4C609DEA">
      <w:pPr>
        <w:widowControl/>
        <w:spacing w:line="360" w:lineRule="auto"/>
        <w:jc w:val="center"/>
        <w:rPr>
          <w:rFonts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第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  <w:lang w:eastAsia="zh-Hans"/>
        </w:rPr>
        <w:t>十</w:t>
      </w: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二届中国研究生智慧城市技术与创意设计大赛</w:t>
      </w:r>
      <w:bookmarkStart w:id="0" w:name="_Toc479323112"/>
      <w:bookmarkStart w:id="1" w:name="_Toc479323333"/>
    </w:p>
    <w:p w14:paraId="23A7038F">
      <w:pPr>
        <w:spacing w:line="360" w:lineRule="auto"/>
        <w:ind w:left="210" w:leftChars="100" w:right="210" w:rightChars="100"/>
        <w:jc w:val="center"/>
        <w:rPr>
          <w:rFonts w:ascii="方正小标宋简体" w:hAnsi="方正小标宋简体" w:eastAsia="方正小标宋简体" w:cs="方正小标宋简体"/>
          <w:sz w:val="36"/>
          <w:szCs w:val="36"/>
        </w:rPr>
      </w:pPr>
      <w:bookmarkStart w:id="2" w:name="_Toc108088507"/>
      <w:bookmarkStart w:id="3" w:name="_Toc7210846"/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创意设计赛</w:t>
      </w:r>
      <w:bookmarkEnd w:id="0"/>
      <w:bookmarkEnd w:id="1"/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项目简表</w:t>
      </w:r>
      <w:bookmarkEnd w:id="2"/>
      <w:bookmarkEnd w:id="3"/>
    </w:p>
    <w:p w14:paraId="5CA8D785">
      <w:pPr>
        <w:widowControl/>
        <w:spacing w:line="360" w:lineRule="auto"/>
        <w:jc w:val="center"/>
        <w:rPr>
          <w:rFonts w:ascii="Times New Roman" w:hAnsi="Times New Roman" w:eastAsia="仿宋" w:cs="Times New Roman"/>
          <w:sz w:val="28"/>
          <w:szCs w:val="36"/>
        </w:rPr>
      </w:pPr>
      <w:r>
        <w:rPr>
          <w:rFonts w:hint="eastAsia" w:ascii="Times New Roman" w:hAnsi="Times New Roman" w:eastAsia="仿宋" w:cs="Times New Roman"/>
          <w:sz w:val="28"/>
          <w:szCs w:val="36"/>
        </w:rPr>
        <w:t xml:space="preserve">（可编辑底稿 待视觉复检 非正式提交版）</w:t>
      </w:r>
    </w:p>
    <w:tbl>
      <w:tblPr>
        <w:tblStyle w:val="7"/>
        <w:tblW w:w="104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2" w:type="dxa"/>
          <w:left w:w="108" w:type="dxa"/>
          <w:bottom w:w="142" w:type="dxa"/>
          <w:right w:w="108" w:type="dxa"/>
        </w:tblCellMar>
      </w:tblPr>
      <w:tblGrid>
        <w:gridCol w:w="1792"/>
        <w:gridCol w:w="1464"/>
        <w:gridCol w:w="1570"/>
        <w:gridCol w:w="1842"/>
        <w:gridCol w:w="3822"/>
      </w:tblGrid>
      <w:tr w14:paraId="7B788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shd w:val="clear" w:color="auto" w:fill="E7E6E6"/>
            <w:vAlign w:val="center"/>
          </w:tcPr>
          <w:p w14:paraId="7CAF9BDA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作品名称</w:t>
            </w:r>
          </w:p>
        </w:tc>
        <w:tc>
          <w:tcPr>
            <w:tcW w:w="8698" w:type="dxa"/>
            <w:gridSpan w:val="4"/>
          </w:tcPr>
          <w:p w14:paraId="5851AF55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  <w:t xml:space="preserve">能智核 公共建筑用能异常核验工作台</w:t>
            </w:r>
          </w:p>
        </w:tc>
      </w:tr>
      <w:tr w14:paraId="67477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shd w:val="clear" w:color="auto" w:fill="E7E6E6"/>
            <w:vAlign w:val="center"/>
          </w:tcPr>
          <w:p w14:paraId="605C8C88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团队名称</w:t>
            </w:r>
          </w:p>
        </w:tc>
        <w:tc>
          <w:tcPr>
            <w:tcW w:w="8698" w:type="dxa"/>
            <w:gridSpan w:val="4"/>
          </w:tcPr>
          <w:p w14:paraId="368C5AB2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  <w:t xml:space="preserve">[待填写匿名团队名称]</w:t>
            </w:r>
          </w:p>
        </w:tc>
      </w:tr>
      <w:tr w14:paraId="2DE26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2558" w:hRule="atLeast"/>
          <w:jc w:val="center"/>
        </w:trPr>
        <w:tc>
          <w:tcPr>
            <w:tcW w:w="1792" w:type="dxa"/>
            <w:shd w:val="clear" w:color="auto" w:fill="E7E6E6"/>
            <w:vAlign w:val="center"/>
          </w:tcPr>
          <w:p w14:paraId="5A5714F5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参赛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lang w:eastAsia="zh-Hans"/>
              </w:rPr>
              <w:t>赛道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/</w:t>
            </w:r>
          </w:p>
          <w:p w14:paraId="781AD66F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赛题</w:t>
            </w:r>
          </w:p>
        </w:tc>
        <w:tc>
          <w:tcPr>
            <w:tcW w:w="8698" w:type="dxa"/>
            <w:gridSpan w:val="4"/>
            <w:vAlign w:val="center"/>
          </w:tcPr>
          <w:p w14:paraId="4FAF87E1">
            <w:pPr>
              <w:widowControl/>
              <w:jc w:val="distribute"/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1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.定向赛道-低空经济与空天科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□ 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  2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.定向赛道-智慧交通与数字孪生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lang w:val="en-US" w:eastAsia="zh-CN"/>
              </w:rPr>
              <w:t xml:space="preserve">   </w:t>
            </w:r>
            <w:r>
              <w:rPr>
                <w:rFonts w:ascii="Times New Roman" w:hAnsi="Times New Roman" w:eastAsia="仿宋" w:cs="Times New Roman"/>
                <w:kern w:val="0"/>
                <w:sz w:val="24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□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    </w:t>
            </w:r>
          </w:p>
          <w:p w14:paraId="66DE1D95">
            <w:pPr>
              <w:widowControl/>
              <w:jc w:val="distribute"/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3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.定向赛道-智能建造与城市更新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□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   4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.定向赛道-未来城市与太空人居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  <w:t xml:space="preserve">   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□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  </w:t>
            </w:r>
          </w:p>
          <w:p w14:paraId="605D67D5">
            <w:pPr>
              <w:widowControl/>
              <w:jc w:val="distribute"/>
              <w:rPr>
                <w:rFonts w:ascii="Times New Roman" w:hAnsi="Times New Roman" w:eastAsia="仿宋" w:cs="Times New Roman"/>
                <w:color w:val="000000"/>
                <w:kern w:val="0"/>
                <w:sz w:val="32"/>
                <w:szCs w:val="21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5.定向赛道-智慧文旅与乡村振兴 □    6.定向赛道-智慧能源与环境         ☑ 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/>
            </w:r>
            <w:r>
              <w:rPr>
                <w:rFonts w:hint="eastAsia" w:ascii="Times New Roman" w:hAnsi="Times New Roman" w:eastAsia="仿宋" w:cs="仿宋"/>
                <w:kern w:val="0"/>
                <w:sz w:val="24"/>
              </w:rPr>
              <w:t xml:space="preserve"/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/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/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/>
            </w:r>
            <w:bookmarkStart w:id="4" w:name="OLE_LINK1"/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/>
            </w:r>
            <w:r>
              <w:rPr>
                <w:rFonts w:hint="eastAsia" w:ascii="Times New Roman" w:hAnsi="Times New Roman" w:eastAsia="仿宋" w:cs="仿宋"/>
                <w:kern w:val="0"/>
                <w:sz w:val="24"/>
              </w:rPr>
              <w:t xml:space="preserve"/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lang w:val="en-US" w:eastAsia="zh-CN"/>
              </w:rPr>
              <w:t xml:space="preserve"/>
            </w:r>
            <w:r>
              <w:rPr>
                <w:rFonts w:ascii="Times New Roman" w:hAnsi="Times New Roman" w:eastAsia="仿宋" w:cs="仿宋"/>
                <w:kern w:val="0"/>
                <w:sz w:val="24"/>
              </w:rPr>
              <w:t xml:space="preserve"/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/>
            </w:r>
            <w:bookmarkEnd w:id="4"/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/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32"/>
                <w:szCs w:val="21"/>
              </w:rPr>
              <w:t xml:space="preserve"/>
            </w:r>
          </w:p>
          <w:p w14:paraId="054581E6">
            <w:pPr>
              <w:widowControl/>
              <w:jc w:val="distribute"/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7.</w:t>
            </w:r>
            <w:bookmarkStart w:id="5" w:name="OLE_LINK2"/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定向赛道-</w:t>
            </w:r>
            <w:bookmarkEnd w:id="5"/>
            <w:r>
              <w:rPr>
                <w:rFonts w:hint="eastAsia" w:ascii="Times New Roman" w:hAnsi="Times New Roman" w:eastAsia="仿宋" w:cs="仿宋"/>
                <w:kern w:val="0"/>
                <w:sz w:val="24"/>
              </w:rPr>
              <w:t xml:space="preserve">韧性城市与智慧应急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□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   8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.定向赛道-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AI与具身智能</w:t>
            </w:r>
            <w:r>
              <w:rPr>
                <w:rFonts w:hint="eastAsia" w:ascii="Times New Roman" w:hAnsi="Times New Roman" w:eastAsia="仿宋" w:cs="仿宋"/>
                <w:kern w:val="0"/>
                <w:sz w:val="24"/>
              </w:rPr>
              <w:t xml:space="preserve">  </w:t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lang w:val="en-US" w:eastAsia="zh-CN"/>
              </w:rPr>
              <w:t xml:space="preserve">       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□</w:t>
            </w:r>
          </w:p>
          <w:p w14:paraId="3690E679">
            <w:pPr>
              <w:widowControl/>
              <w:jc w:val="distribute"/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9.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定向赛道-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  <w:t>智慧生活与大健康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 </w:t>
            </w:r>
            <w:bookmarkStart w:id="6" w:name="OLE_LINK7"/>
            <w:bookmarkStart w:id="7" w:name="OLE_LINK6"/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□ </w:t>
            </w:r>
            <w:bookmarkEnd w:id="6"/>
            <w:bookmarkEnd w:id="7"/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  10.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定向赛道-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  <w:t>城市运维与安全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 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  <w:t xml:space="preserve">   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□</w:t>
            </w:r>
          </w:p>
          <w:p w14:paraId="7CECD00F">
            <w:pPr>
              <w:widowControl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  <w:t>11.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定向赛道-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  <w:t>智能材料与绿色建造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□ </w:t>
            </w:r>
          </w:p>
          <w:p w14:paraId="15C10EC3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1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.自由赛道 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               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□</w:t>
            </w:r>
          </w:p>
          <w:p w14:paraId="62D0BAA6">
            <w:pPr>
              <w:widowControl/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1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  <w:t>3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.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企业揭榜赛道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 xml:space="preserve">            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□</w:t>
            </w:r>
          </w:p>
          <w:p w14:paraId="784F9023">
            <w:pPr>
              <w:widowControl/>
              <w:rPr>
                <w:rFonts w:hint="default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  <w:lang w:val="en-US" w:eastAsia="zh-CN"/>
              </w:rPr>
              <w:t xml:space="preserve">14.地方特色赛道               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  <w:t>□</w:t>
            </w:r>
          </w:p>
          <w:p w14:paraId="17681D75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</w:pPr>
          </w:p>
          <w:p w14:paraId="50F8344C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</w:pPr>
          </w:p>
          <w:p w14:paraId="4AD74A20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</w:pPr>
          </w:p>
          <w:p w14:paraId="0B304CFD">
            <w:pPr>
              <w:widowControl/>
              <w:rPr>
                <w:rFonts w:ascii="Times New Roman" w:hAnsi="Times New Roman" w:eastAsia="仿宋" w:cs="Times New Roman"/>
                <w:color w:val="000000"/>
                <w:kern w:val="0"/>
                <w:sz w:val="24"/>
                <w:szCs w:val="18"/>
              </w:rPr>
            </w:pPr>
          </w:p>
        </w:tc>
      </w:tr>
      <w:tr w14:paraId="29D2A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shd w:val="clear" w:color="auto" w:fill="E7E6E6"/>
            <w:vAlign w:val="center"/>
          </w:tcPr>
          <w:p w14:paraId="1D0A8338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队长姓名</w:t>
            </w:r>
          </w:p>
        </w:tc>
        <w:tc>
          <w:tcPr>
            <w:tcW w:w="3034" w:type="dxa"/>
            <w:gridSpan w:val="2"/>
          </w:tcPr>
          <w:p w14:paraId="7D0B2BB1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</w:rPr>
              <w:t xml:space="preserve">[待按官方匿名口径填写]</w:t>
            </w:r>
          </w:p>
        </w:tc>
        <w:tc>
          <w:tcPr>
            <w:tcW w:w="1842" w:type="dxa"/>
            <w:shd w:val="clear" w:color="auto" w:fill="E7E6E6"/>
          </w:tcPr>
          <w:p w14:paraId="4622BAB2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队长联系电话</w:t>
            </w:r>
          </w:p>
        </w:tc>
        <w:tc>
          <w:tcPr>
            <w:tcW w:w="3822" w:type="dxa"/>
          </w:tcPr>
          <w:p w14:paraId="68AE79EB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  <w:t xml:space="preserve">[待按官方匿名口径填写]</w:t>
            </w:r>
          </w:p>
        </w:tc>
      </w:tr>
      <w:tr w14:paraId="7741A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shd w:val="clear" w:color="auto" w:fill="E7E6E6"/>
            <w:vAlign w:val="center"/>
          </w:tcPr>
          <w:p w14:paraId="7DA46AC5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团队成员</w:t>
            </w:r>
          </w:p>
        </w:tc>
        <w:tc>
          <w:tcPr>
            <w:tcW w:w="8698" w:type="dxa"/>
            <w:gridSpan w:val="4"/>
          </w:tcPr>
          <w:p w14:paraId="444BB825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  <w:t xml:space="preserve">产品与场景、数据与诊断、工程实现等匿名职责；成员身份待按官方口径填写。</w:t>
            </w:r>
          </w:p>
        </w:tc>
      </w:tr>
      <w:tr w14:paraId="372E1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vMerge w:val="restart"/>
            <w:shd w:val="clear" w:color="auto" w:fill="E7E6E6"/>
            <w:vAlign w:val="center"/>
          </w:tcPr>
          <w:p w14:paraId="2838540A">
            <w:pPr>
              <w:widowControl/>
              <w:autoSpaceDN w:val="0"/>
              <w:jc w:val="center"/>
              <w:rPr>
                <w:rFonts w:ascii="Times New Roman" w:hAnsi="Times New Roman" w:eastAsia="仿宋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报告内容</w:t>
            </w:r>
          </w:p>
          <w:p w14:paraId="252E61EB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摘要</w:t>
            </w:r>
          </w:p>
        </w:tc>
        <w:tc>
          <w:tcPr>
            <w:tcW w:w="8698" w:type="dxa"/>
            <w:gridSpan w:val="4"/>
            <w:shd w:val="clear" w:color="auto" w:fill="E7E6E6"/>
            <w:vAlign w:val="center"/>
          </w:tcPr>
          <w:p w14:paraId="4BF3C018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b/>
                <w:kern w:val="0"/>
                <w:sz w:val="24"/>
              </w:rPr>
              <w:t>（</w:t>
            </w:r>
            <w:r>
              <w:rPr>
                <w:rFonts w:ascii="Times New Roman" w:hAnsi="Times New Roman" w:eastAsia="仿宋" w:cs="Times New Roman"/>
                <w:b/>
                <w:kern w:val="0"/>
                <w:sz w:val="24"/>
              </w:rPr>
              <w:t>1</w:t>
            </w:r>
            <w:r>
              <w:rPr>
                <w:rFonts w:hint="eastAsia" w:ascii="Times New Roman" w:hAnsi="Times New Roman" w:eastAsia="仿宋" w:cs="Times New Roman"/>
                <w:b/>
                <w:kern w:val="0"/>
                <w:sz w:val="24"/>
              </w:rPr>
              <w:t>）项目背景</w:t>
            </w:r>
          </w:p>
        </w:tc>
      </w:tr>
      <w:tr w14:paraId="3639B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2191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1DDCBF85">
            <w:pPr>
              <w:widowControl/>
              <w:autoSpaceDN w:val="0"/>
              <w:jc w:val="center"/>
              <w:rPr>
                <w:rFonts w:ascii="Times New Roman" w:hAnsi="Times New Roman" w:eastAsia="仿宋" w:cs="Times New Roman"/>
                <w:kern w:val="0"/>
                <w:sz w:val="24"/>
              </w:rPr>
            </w:pPr>
          </w:p>
        </w:tc>
        <w:tc>
          <w:tcPr>
            <w:tcW w:w="8698" w:type="dxa"/>
            <w:gridSpan w:val="4"/>
          </w:tcPr>
          <w:p w14:paraId="5D31006F">
            <w:pPr>
              <w:widowControl/>
              <w:rPr>
                <w:rFonts w:ascii="Times New Roman" w:hAnsi="Times New Roman" w:eastAsia="仿宋" w:cs="Times New Roman"/>
                <w:color w:val="595959"/>
                <w:kern w:val="0"/>
                <w:sz w:val="24"/>
              </w:rPr>
            </w:pPr>
            <w:r>
              <w:rPr>
                <w:rFonts w:ascii="Times New Roman" w:hAnsi="Times New Roman" w:eastAsia="仿宋" w:cs="Times New Roman"/>
                <w:color w:val="595959"/>
                <w:kern w:val="0"/>
                <w:sz w:val="24"/>
              </w:rPr>
              <w:t xml:space="preserve">公共建筑出现用能告警后，运维人员首先需要决定查记录、查工况还是查设备。错误记录与设备疑点可能共存；仅凭电表曲线也无法可靠定位暖通故障。能智核面向这一核验环节，将数据质量与设备判断分开呈现，让每项判断对应可复查的证据，并给出下一步需要查询的点位或运行时段。</w:t>
            </w:r>
            <w:r>
              <w:rPr>
                <w:rFonts w:hint="eastAsia" w:ascii="Times New Roman" w:hAnsi="Times New Roman" w:eastAsia="仿宋" w:cs="Times New Roman"/>
                <w:color w:val="595959"/>
                <w:kern w:val="0"/>
                <w:sz w:val="24"/>
              </w:rPr>
              <w:t/>
            </w:r>
            <w:r>
              <w:rPr>
                <w:rFonts w:ascii="Times New Roman" w:hAnsi="Times New Roman" w:eastAsia="仿宋" w:cs="Times New Roman"/>
                <w:color w:val="595959"/>
                <w:kern w:val="0"/>
                <w:sz w:val="24"/>
              </w:rPr>
              <w:t/>
            </w:r>
            <w:r>
              <w:rPr>
                <w:rFonts w:hint="eastAsia" w:ascii="Times New Roman" w:hAnsi="Times New Roman" w:eastAsia="仿宋" w:cs="Times New Roman"/>
                <w:color w:val="595959"/>
                <w:kern w:val="0"/>
                <w:sz w:val="24"/>
              </w:rPr>
              <w:t/>
            </w:r>
            <w:r>
              <w:rPr>
                <w:rFonts w:ascii="Times New Roman" w:hAnsi="Times New Roman" w:eastAsia="仿宋" w:cs="Times New Roman"/>
                <w:color w:val="595959"/>
                <w:kern w:val="0"/>
                <w:sz w:val="24"/>
              </w:rPr>
              <w:t/>
            </w:r>
            <w:r>
              <w:rPr>
                <w:rFonts w:hint="eastAsia" w:ascii="Times New Roman" w:hAnsi="Times New Roman" w:eastAsia="仿宋" w:cs="Times New Roman"/>
                <w:color w:val="595959"/>
                <w:kern w:val="0"/>
                <w:sz w:val="24"/>
              </w:rPr>
              <w:t/>
            </w:r>
            <w:r>
              <w:rPr>
                <w:rFonts w:ascii="Times New Roman" w:hAnsi="Times New Roman" w:eastAsia="仿宋" w:cs="Times New Roman"/>
                <w:color w:val="595959"/>
                <w:kern w:val="0"/>
                <w:sz w:val="24"/>
              </w:rPr>
              <w:t/>
            </w:r>
          </w:p>
        </w:tc>
      </w:tr>
      <w:tr w14:paraId="5049E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71878284">
            <w:pPr>
              <w:widowControl/>
              <w:autoSpaceDN w:val="0"/>
              <w:jc w:val="center"/>
              <w:rPr>
                <w:rFonts w:ascii="Times New Roman" w:hAnsi="Times New Roman" w:eastAsia="仿宋" w:cs="Times New Roman"/>
                <w:kern w:val="0"/>
                <w:sz w:val="24"/>
              </w:rPr>
            </w:pPr>
          </w:p>
        </w:tc>
        <w:tc>
          <w:tcPr>
            <w:tcW w:w="8698" w:type="dxa"/>
            <w:gridSpan w:val="4"/>
            <w:shd w:val="clear" w:color="auto" w:fill="E7E6E6"/>
            <w:vAlign w:val="center"/>
          </w:tcPr>
          <w:p w14:paraId="2A572004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b/>
                <w:kern w:val="0"/>
                <w:sz w:val="24"/>
              </w:rPr>
              <w:t>（</w:t>
            </w:r>
            <w:r>
              <w:rPr>
                <w:rFonts w:ascii="Times New Roman" w:hAnsi="Times New Roman" w:eastAsia="仿宋" w:cs="Times New Roman"/>
                <w:b/>
                <w:kern w:val="0"/>
                <w:sz w:val="24"/>
              </w:rPr>
              <w:t>2</w:t>
            </w:r>
            <w:r>
              <w:rPr>
                <w:rFonts w:hint="eastAsia" w:ascii="Times New Roman" w:hAnsi="Times New Roman" w:eastAsia="仿宋" w:cs="Times New Roman"/>
                <w:b/>
                <w:kern w:val="0"/>
                <w:sz w:val="24"/>
              </w:rPr>
              <w:t>）立项思路</w:t>
            </w:r>
          </w:p>
        </w:tc>
      </w:tr>
      <w:tr w14:paraId="70FF8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2449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6C61D152">
            <w:pPr>
              <w:widowControl/>
              <w:autoSpaceDN w:val="0"/>
              <w:jc w:val="center"/>
              <w:rPr>
                <w:rFonts w:ascii="Times New Roman" w:hAnsi="Times New Roman" w:eastAsia="仿宋" w:cs="Times New Roman"/>
                <w:kern w:val="0"/>
                <w:sz w:val="24"/>
              </w:rPr>
            </w:pPr>
          </w:p>
        </w:tc>
        <w:tc>
          <w:tcPr>
            <w:tcW w:w="8698" w:type="dxa"/>
            <w:gridSpan w:val="4"/>
          </w:tcPr>
          <w:p w14:paraId="3CF872D3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</w:rPr>
            </w:pPr>
            <w:r>
              <w:rPr>
                <w:rFonts w:ascii="Times New Roman" w:hAnsi="Times New Roman" w:eastAsia="仿宋" w:cs="Times New Roman"/>
                <w:color w:val="595959"/>
                <w:kern w:val="0"/>
                <w:sz w:val="24"/>
              </w:rPr>
              <w:t xml:space="preserve">以“告警之后，先查什么”为主线，建立记录检查、有效工况筛选、证据核验与下一步动作的闭环。先修复诊断器的实现和工况适用性，再检验查询策略是否有价值；不把工程修复描述为原创算法。同一仿真系统14个新日期块、56个基础工况的时间留出中，完整证据下总体正确率由5.36%变为21.43%，已判错误率为旧0.00%、新0.00%；不代表真实楼宇验证。正常与泄漏召回均为0，改善仅见风阀候选。</w:t>
            </w:r>
            <w:r>
              <w:rPr>
                <w:rFonts w:hint="eastAsia" w:ascii="Times New Roman" w:hAnsi="Times New Roman" w:eastAsia="仿宋" w:cs="Times New Roman"/>
                <w:color w:val="595959"/>
                <w:kern w:val="0"/>
                <w:sz w:val="24"/>
              </w:rPr>
              <w:t/>
            </w:r>
            <w:r>
              <w:rPr>
                <w:rFonts w:ascii="Times New Roman" w:hAnsi="Times New Roman" w:eastAsia="仿宋" w:cs="Times New Roman"/>
                <w:color w:val="595959"/>
                <w:kern w:val="0"/>
                <w:sz w:val="24"/>
              </w:rPr>
              <w:t/>
            </w:r>
            <w:r>
              <w:rPr>
                <w:rFonts w:hint="eastAsia" w:ascii="Times New Roman" w:hAnsi="Times New Roman" w:eastAsia="仿宋" w:cs="Times New Roman"/>
                <w:color w:val="595959"/>
                <w:kern w:val="0"/>
                <w:sz w:val="24"/>
              </w:rPr>
              <w:t/>
            </w:r>
            <w:r>
              <w:rPr>
                <w:rFonts w:ascii="Times New Roman" w:hAnsi="Times New Roman" w:eastAsia="仿宋" w:cs="Times New Roman"/>
                <w:color w:val="595959"/>
                <w:kern w:val="0"/>
                <w:sz w:val="24"/>
              </w:rPr>
              <w:t/>
            </w:r>
          </w:p>
        </w:tc>
      </w:tr>
      <w:tr w14:paraId="2391A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6E2ED5F1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  <w:tc>
          <w:tcPr>
            <w:tcW w:w="8698" w:type="dxa"/>
            <w:gridSpan w:val="4"/>
            <w:shd w:val="clear" w:color="auto" w:fill="E7E6E6"/>
            <w:vAlign w:val="center"/>
          </w:tcPr>
          <w:p w14:paraId="75BBE221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b/>
                <w:kern w:val="0"/>
                <w:sz w:val="24"/>
              </w:rPr>
              <w:t>（</w:t>
            </w:r>
            <w:r>
              <w:rPr>
                <w:rFonts w:ascii="Times New Roman" w:hAnsi="Times New Roman" w:eastAsia="仿宋" w:cs="Times New Roman"/>
                <w:b/>
                <w:kern w:val="0"/>
                <w:sz w:val="24"/>
              </w:rPr>
              <w:t>3</w:t>
            </w:r>
            <w:r>
              <w:rPr>
                <w:rFonts w:hint="eastAsia" w:ascii="Times New Roman" w:hAnsi="Times New Roman" w:eastAsia="仿宋" w:cs="Times New Roman"/>
                <w:b/>
                <w:kern w:val="0"/>
                <w:sz w:val="24"/>
              </w:rPr>
              <w:t>）解决方案</w:t>
            </w:r>
          </w:p>
        </w:tc>
      </w:tr>
      <w:tr w14:paraId="2EAFA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1290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04440148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  <w:tc>
          <w:tcPr>
            <w:tcW w:w="8698" w:type="dxa"/>
            <w:gridSpan w:val="4"/>
          </w:tcPr>
          <w:p w14:paraId="678E3DA1">
            <w:pPr>
              <w:widowControl/>
              <w:rPr>
                <w:rFonts w:ascii="Times New Roman" w:hAnsi="Times New Roman" w:eastAsia="仿宋" w:cs="Times New Roman"/>
                <w:sz w:val="24"/>
              </w:rPr>
            </w:pPr>
            <w:r>
              <w:rPr>
                <w:rFonts w:ascii="Times New Roman" w:hAnsi="Times New Roman" w:eastAsia="仿宋" w:cs="Times New Roman"/>
                <w:color w:val="595959"/>
                <w:sz w:val="24"/>
              </w:rPr>
              <w:t xml:space="preserve">本地网页工作台接入两条独立证据链：BDG2承担真实建筑用能回放，LBNL单风道空调机组承担有标签仿真验证，重复记录另标为人为扰动。数值、有效窗口和判断均由程序计算，展示支持证据、反驳证据、判断状态与下一步动作；缺证时保持未决。修改预算、修正数据或屏蔽证据后真实重算。三个演示分别展示实测回放、正常仿真核验，以及数据修正后仍须核查设备疑点。旧42条仅作开发回归；新数据按完整日期块划分开发与最终留出，同日期全部故障和扰动版本整组归属。先以相同完整允许证据比较旧、新诊断器，再用新诊断器在预算4下比较固定流程与自适应规则。完整信息不受预算4截断；结果保留未决分母与错误率，查询成本和现场补采成本分别报告。</w:t>
            </w:r>
            <w:r>
              <w:rPr>
                <w:rFonts w:hint="eastAsia" w:ascii="Times New Roman" w:hAnsi="Times New Roman" w:eastAsia="仿宋" w:cs="Times New Roman"/>
                <w:color w:val="595959"/>
                <w:sz w:val="24"/>
              </w:rPr>
              <w:t/>
            </w:r>
            <w:r>
              <w:rPr>
                <w:rFonts w:ascii="Times New Roman" w:hAnsi="Times New Roman" w:eastAsia="仿宋" w:cs="Times New Roman"/>
                <w:color w:val="595959"/>
                <w:sz w:val="24"/>
              </w:rPr>
              <w:t/>
            </w:r>
            <w:r>
              <w:rPr>
                <w:rFonts w:hint="eastAsia" w:ascii="Times New Roman" w:hAnsi="Times New Roman" w:eastAsia="仿宋" w:cs="Times New Roman"/>
                <w:color w:val="595959"/>
                <w:sz w:val="24"/>
              </w:rPr>
              <w:t/>
            </w:r>
            <w:r>
              <w:rPr>
                <w:rFonts w:ascii="Times New Roman" w:hAnsi="Times New Roman" w:eastAsia="仿宋" w:cs="Times New Roman"/>
                <w:color w:val="595959"/>
                <w:sz w:val="24"/>
              </w:rPr>
              <w:t/>
            </w:r>
          </w:p>
        </w:tc>
      </w:tr>
      <w:tr w14:paraId="5C229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0E7A6082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  <w:tc>
          <w:tcPr>
            <w:tcW w:w="8698" w:type="dxa"/>
            <w:gridSpan w:val="4"/>
            <w:shd w:val="clear" w:color="auto" w:fill="E7E6E6"/>
            <w:vAlign w:val="center"/>
          </w:tcPr>
          <w:p w14:paraId="7F1FAEF0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b/>
                <w:kern w:val="0"/>
                <w:sz w:val="24"/>
              </w:rPr>
              <w:t>（</w:t>
            </w:r>
            <w:r>
              <w:rPr>
                <w:rFonts w:ascii="Times New Roman" w:hAnsi="Times New Roman" w:eastAsia="仿宋" w:cs="Times New Roman"/>
                <w:b/>
                <w:kern w:val="0"/>
                <w:sz w:val="24"/>
              </w:rPr>
              <w:t>4</w:t>
            </w:r>
            <w:r>
              <w:rPr>
                <w:rFonts w:hint="eastAsia" w:ascii="Times New Roman" w:hAnsi="Times New Roman" w:eastAsia="仿宋" w:cs="Times New Roman"/>
                <w:b/>
                <w:kern w:val="0"/>
                <w:sz w:val="24"/>
              </w:rPr>
              <w:t>）</w:t>
            </w:r>
            <w:r>
              <w:rPr>
                <w:rFonts w:hint="eastAsia" w:ascii="Times New Roman" w:hAnsi="Times New Roman" w:eastAsia="仿宋" w:cs="Times New Roman"/>
                <w:b/>
                <w:sz w:val="24"/>
              </w:rPr>
              <w:t>商业模式和预期效益</w:t>
            </w:r>
          </w:p>
        </w:tc>
      </w:tr>
      <w:tr w14:paraId="7855E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4388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05E5D622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  <w:tc>
          <w:tcPr>
            <w:tcW w:w="8698" w:type="dxa"/>
            <w:gridSpan w:val="4"/>
          </w:tcPr>
          <w:p w14:paraId="1CEEFA71">
            <w:pPr>
              <w:widowControl/>
              <w:rPr>
                <w:rFonts w:ascii="Times New Roman" w:hAnsi="Times New Roman" w:eastAsia="仿宋" w:cs="Times New Roman"/>
                <w:color w:val="595959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color w:val="595959"/>
                <w:sz w:val="24"/>
              </w:rPr>
              <w:t xml:space="preserve">候选使用者为公共建筑运维与能源服务人员，拟以本地软件、授权数据接入及维护分析服务交付。近期价值是明确核查顺序、展示证据与缺口、避免将数据修复误作设备恢复。客户需求、付费方式和人工收益尚待访谈与试用验证；目前没有试点、合作、销售、实测节能量或投资回报数据，不据公开仿真推算实际收益。</w:t>
            </w:r>
          </w:p>
        </w:tc>
      </w:tr>
      <w:tr w14:paraId="50244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1140" w:hRule="atLeast"/>
          <w:jc w:val="center"/>
        </w:trPr>
        <w:tc>
          <w:tcPr>
            <w:tcW w:w="1792" w:type="dxa"/>
            <w:vMerge w:val="restart"/>
            <w:shd w:val="clear" w:color="auto" w:fill="E7E6E6"/>
            <w:vAlign w:val="center"/>
          </w:tcPr>
          <w:p w14:paraId="208F3AE5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作品技术</w:t>
            </w:r>
          </w:p>
          <w:p w14:paraId="5E9AB716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</w:rPr>
              <w:t>自评价</w:t>
            </w:r>
          </w:p>
        </w:tc>
        <w:tc>
          <w:tcPr>
            <w:tcW w:w="1464" w:type="dxa"/>
            <w:vAlign w:val="center"/>
          </w:tcPr>
          <w:p w14:paraId="2B6B5B04">
            <w:pPr>
              <w:widowControl/>
              <w:rPr>
                <w:rFonts w:ascii="Times New Roman" w:hAnsi="Times New Roman" w:eastAsia="仿宋" w:cs="Times New Roman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18"/>
              </w:rPr>
              <w:t>作品所处</w:t>
            </w:r>
          </w:p>
          <w:p w14:paraId="091CD7F2">
            <w:pPr>
              <w:widowControl/>
              <w:rPr>
                <w:rFonts w:ascii="Times New Roman" w:hAnsi="Times New Roman" w:eastAsia="仿宋" w:cs="Times New Roman"/>
                <w:color w:val="595959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18"/>
              </w:rPr>
              <w:t>研发阶段：</w:t>
            </w:r>
          </w:p>
        </w:tc>
        <w:tc>
          <w:tcPr>
            <w:tcW w:w="7234" w:type="dxa"/>
            <w:gridSpan w:val="3"/>
            <w:vAlign w:val="center"/>
          </w:tcPr>
          <w:p w14:paraId="292CF53F">
            <w:pPr>
              <w:widowControl/>
              <w:spacing w:before="81" w:after="81"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18"/>
              </w:rPr>
              <w:sym w:font="Wingdings 2" w:char="00A3"/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 xml:space="preserve">软硬件开发类；本地软件原型。</w:t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sym w:font="Wingdings 2" w:char="00A3"/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 xml:space="preserve"/>
            </w:r>
          </w:p>
        </w:tc>
      </w:tr>
      <w:tr w14:paraId="23A8F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1140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0D480484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 w14:paraId="75620A7F">
            <w:pPr>
              <w:widowControl/>
              <w:rPr>
                <w:rFonts w:ascii="Times New Roman" w:hAnsi="Times New Roman" w:eastAsia="仿宋" w:cs="Times New Roman"/>
                <w:color w:val="595959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>先进性：</w:t>
            </w:r>
          </w:p>
        </w:tc>
        <w:tc>
          <w:tcPr>
            <w:tcW w:w="7234" w:type="dxa"/>
            <w:gridSpan w:val="3"/>
            <w:vAlign w:val="center"/>
          </w:tcPr>
          <w:p w14:paraId="11AA7D44">
            <w:pPr>
              <w:widowControl/>
              <w:spacing w:before="81" w:after="81"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sym w:font="Wingdings 2" w:char="00A3"/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 xml:space="preserve">无法判断；不作国内或国际领先评价。</w:t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sym w:font="Wingdings 2" w:char="00A3"/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/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sym w:font="Wingdings 2" w:char="00A3"/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/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sym w:font="Wingdings 2" w:char="00A3"/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 xml:space="preserve"/>
            </w:r>
          </w:p>
        </w:tc>
      </w:tr>
      <w:tr w14:paraId="771EF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1140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4BB40A0B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 w14:paraId="4DA94D54">
            <w:pPr>
              <w:widowControl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>成果交付物类型（可多选）</w:t>
            </w:r>
          </w:p>
        </w:tc>
        <w:tc>
          <w:tcPr>
            <w:tcW w:w="7234" w:type="dxa"/>
            <w:gridSpan w:val="3"/>
            <w:vAlign w:val="center"/>
          </w:tcPr>
          <w:p w14:paraId="4C590370">
            <w:pPr>
              <w:widowControl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 xml:space="preserve">□硬件 ☑软件 □工艺 ☑方法 □服务 □商业模式 </w:t>
            </w:r>
          </w:p>
          <w:p w14:paraId="6893554A">
            <w:pPr>
              <w:widowControl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 xml:space="preserve">□其他                          </w:t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  <w:u w:val="single"/>
              </w:rPr>
              <w:t xml:space="preserve"/>
            </w:r>
          </w:p>
        </w:tc>
      </w:tr>
      <w:tr w14:paraId="3BCCB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1140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5215EE54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 w14:paraId="559DBAC9">
            <w:pPr>
              <w:widowControl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>技术成熟度（单选）：</w:t>
            </w:r>
          </w:p>
        </w:tc>
        <w:tc>
          <w:tcPr>
            <w:tcW w:w="7234" w:type="dxa"/>
            <w:gridSpan w:val="3"/>
            <w:vAlign w:val="center"/>
          </w:tcPr>
          <w:p w14:paraId="479A2096">
            <w:pPr>
              <w:widowControl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 xml:space="preserve">□第1级 □第2级 □第3级 □第4级 </w:t>
            </w:r>
          </w:p>
          <w:p w14:paraId="3F66F272">
            <w:pPr>
              <w:widowControl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 xml:space="preserve">□第5级 □第6级 □第7级 □第8级 </w:t>
            </w:r>
          </w:p>
          <w:p w14:paraId="090C9527">
            <w:pPr>
              <w:widowControl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>□第9级</w:t>
            </w:r>
          </w:p>
        </w:tc>
      </w:tr>
      <w:tr w14:paraId="75AE4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1140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69E81CC6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 w14:paraId="1651D406">
            <w:pPr>
              <w:widowControl/>
              <w:rPr>
                <w:rFonts w:ascii="Times New Roman" w:hAnsi="Times New Roman" w:eastAsia="仿宋" w:cs="Times New Roman"/>
                <w:color w:val="595959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>国内外对比参照物（可多个参照物）：</w:t>
            </w:r>
          </w:p>
        </w:tc>
        <w:tc>
          <w:tcPr>
            <w:tcW w:w="7234" w:type="dxa"/>
            <w:gridSpan w:val="3"/>
            <w:vAlign w:val="center"/>
          </w:tcPr>
          <w:p w14:paraId="5FEE5DA4">
            <w:pPr>
              <w:widowControl/>
              <w:spacing w:before="81" w:after="81"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  <w:sym w:font="Wingdings 2" w:char="00A3"/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 xml:space="preserve">指标前三项为新诊断器对旧诊断器，均用完整允许证据；后二项为自适应对固定流程，均用新诊断器与预算4。提升度为相对变化，基线0不计算。</w:t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sym w:font="Wingdings 2" w:char="00A3"/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/>
            </w:r>
          </w:p>
        </w:tc>
      </w:tr>
      <w:tr w14:paraId="4DA05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2854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52D3CA02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 w14:paraId="074E71CC">
            <w:pPr>
              <w:widowControl/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>关键指标</w:t>
            </w:r>
          </w:p>
          <w:p w14:paraId="22BB7561">
            <w:pPr>
              <w:widowControl/>
              <w:rPr>
                <w:rFonts w:ascii="Times New Roman" w:hAnsi="Times New Roman" w:eastAsia="仿宋" w:cs="Times New Roman"/>
                <w:color w:val="595959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>提升情况：（</w:t>
            </w:r>
            <w:r>
              <w:rPr>
                <w:rFonts w:hint="eastAsia" w:ascii="Times New Roman" w:hAnsi="Times New Roman" w:eastAsia="仿宋" w:cs="仿宋"/>
                <w:b/>
                <w:bCs/>
                <w:kern w:val="0"/>
                <w:sz w:val="24"/>
                <w:szCs w:val="18"/>
              </w:rPr>
              <w:t>关键指标一般3-5项，具体数值需有相关试验报告、第三方检测报告等佐证材料支撑</w:t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>）</w:t>
            </w:r>
          </w:p>
        </w:tc>
        <w:tc>
          <w:tcPr>
            <w:tcW w:w="7234" w:type="dxa"/>
            <w:gridSpan w:val="3"/>
            <w:vAlign w:val="center"/>
          </w:tcPr>
          <w:tbl>
            <w:tblPr>
              <w:tblStyle w:val="6"/>
              <w:tblpPr w:leftFromText="180" w:rightFromText="180" w:vertAnchor="text" w:horzAnchor="page" w:tblpXSpec="center" w:tblpY="396"/>
              <w:tblOverlap w:val="never"/>
              <w:tblW w:w="7018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11"/>
              <w:gridCol w:w="1170"/>
              <w:gridCol w:w="1124"/>
              <w:gridCol w:w="1095"/>
              <w:gridCol w:w="2118"/>
            </w:tblGrid>
            <w:tr w14:paraId="517BB7AC">
              <w:trPr>
                <w:trHeight w:val="418" w:hRule="atLeast"/>
              </w:trPr>
              <w:tc>
                <w:tcPr>
                  <w:tcW w:w="1076" w:type="pct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1E68AE64">
                  <w:pPr>
                    <w:widowControl/>
                    <w:spacing w:line="360" w:lineRule="auto"/>
                    <w:jc w:val="center"/>
                    <w:textAlignment w:val="center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rFonts w:hint="eastAsia" w:ascii="Times New Roman" w:hAnsi="Times New Roman" w:eastAsia="仿宋" w:cs="仿宋"/>
                      <w:color w:val="000000"/>
                      <w:lang w:bidi="ar"/>
                      <w14:ligatures w14:val="standardContextual"/>
                    </w:rPr>
                    <w:t xml:space="preserve"> </w:t>
                  </w:r>
                  <w:r>
                    <w:rPr>
                      <w:rFonts w:ascii="Times New Roman" w:hAnsi="Times New Roman" w:eastAsia="仿宋" w:cs="仿宋"/>
                      <w:color w:val="000000"/>
                      <w:szCs w:val="21"/>
                      <w:lang w:bidi="ar"/>
                      <w14:ligatures w14:val="standardContextual"/>
                    </w:rPr>
                    <w:t>指标名称</w:t>
                  </w:r>
                </w:p>
              </w:tc>
              <w:tc>
                <w:tcPr>
                  <w:tcW w:w="83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7E459E57">
                  <w:pPr>
                    <w:widowControl/>
                    <w:spacing w:line="360" w:lineRule="auto"/>
                    <w:jc w:val="center"/>
                    <w:textAlignment w:val="center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rFonts w:hint="eastAsia" w:ascii="Times New Roman" w:hAnsi="Times New Roman" w:eastAsia="仿宋" w:cs="仿宋"/>
                      <w:color w:val="000000"/>
                      <w:lang w:bidi="ar"/>
                      <w14:ligatures w14:val="standardContextual"/>
                    </w:rPr>
                    <w:t xml:space="preserve"> </w:t>
                  </w:r>
                  <w:r>
                    <w:rPr>
                      <w:rFonts w:ascii="Times New Roman" w:hAnsi="Times New Roman" w:eastAsia="仿宋" w:cs="仿宋"/>
                      <w:color w:val="000000"/>
                      <w:szCs w:val="21"/>
                      <w:lang w:bidi="ar"/>
                      <w14:ligatures w14:val="standardContextual"/>
                    </w:rPr>
                    <w:t>指标值</w:t>
                  </w:r>
                </w:p>
              </w:tc>
              <w:tc>
                <w:tcPr>
                  <w:tcW w:w="801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675C0D12">
                  <w:pPr>
                    <w:widowControl/>
                    <w:spacing w:line="360" w:lineRule="auto"/>
                    <w:jc w:val="center"/>
                    <w:textAlignment w:val="center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eastAsia="仿宋" w:cs="仿宋"/>
                      <w:color w:val="000000"/>
                      <w:szCs w:val="21"/>
                      <w:lang w:bidi="ar"/>
                      <w14:ligatures w14:val="standardContextual"/>
                    </w:rPr>
                    <w:t>参照值</w:t>
                  </w:r>
                </w:p>
              </w:tc>
              <w:tc>
                <w:tcPr>
                  <w:tcW w:w="780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7784E9BE">
                  <w:pPr>
                    <w:widowControl/>
                    <w:spacing w:line="360" w:lineRule="auto"/>
                    <w:jc w:val="center"/>
                    <w:textAlignment w:val="center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eastAsia="仿宋" w:cs="仿宋"/>
                      <w:color w:val="000000"/>
                      <w:szCs w:val="21"/>
                      <w:lang w:bidi="ar"/>
                      <w14:ligatures w14:val="standardContextual"/>
                    </w:rPr>
                    <w:t>提升度%</w:t>
                  </w:r>
                </w:p>
              </w:tc>
              <w:tc>
                <w:tcPr>
                  <w:tcW w:w="150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shd w:val="clear" w:color="auto" w:fill="auto"/>
                  <w:vAlign w:val="center"/>
                </w:tcPr>
                <w:p w14:paraId="3A37FC8E">
                  <w:pPr>
                    <w:widowControl/>
                    <w:spacing w:line="360" w:lineRule="auto"/>
                    <w:jc w:val="center"/>
                    <w:textAlignment w:val="center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eastAsia="仿宋" w:cs="仿宋"/>
                      <w:color w:val="000000"/>
                      <w:szCs w:val="21"/>
                      <w:lang w:bidi="ar"/>
                      <w14:ligatures w14:val="standardContextual"/>
                    </w:rPr>
                    <w:t>参照对象</w:t>
                  </w:r>
                </w:p>
              </w:tc>
            </w:tr>
            <w:tr w14:paraId="19C3468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076" w:type="pct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582A90D8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  <w:t xml:space="preserve">总体正确率</w:t>
                  </w:r>
                </w:p>
              </w:tc>
              <w:tc>
                <w:tcPr>
                  <w:tcW w:w="83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691CC3C9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  <w:t xml:space="preserve">21.43%</w:t>
                  </w:r>
                </w:p>
              </w:tc>
              <w:tc>
                <w:tcPr>
                  <w:tcW w:w="801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3A554222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  <w:t xml:space="preserve">5.36%</w:t>
                  </w:r>
                </w:p>
              </w:tc>
              <w:tc>
                <w:tcPr>
                  <w:tcW w:w="780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1FB06476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  <w:t xml:space="preserve">+300.00%</w:t>
                  </w:r>
                </w:p>
              </w:tc>
              <w:tc>
                <w:tcPr>
                  <w:tcW w:w="150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shd w:val="clear" w:color="auto" w:fill="auto"/>
                  <w:vAlign w:val="center"/>
                </w:tcPr>
                <w:p w14:paraId="4E3459E2">
                  <w:pPr>
                    <w:widowControl/>
                    <w:spacing w:line="360" w:lineRule="auto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  <w:t xml:space="preserve">旧诊断器 完整信息</w:t>
                  </w:r>
                </w:p>
              </w:tc>
            </w:tr>
            <w:tr w14:paraId="51B52BA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076" w:type="pct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559C8956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  <w:t xml:space="preserve">结论覆盖率</w:t>
                  </w:r>
                </w:p>
              </w:tc>
              <w:tc>
                <w:tcPr>
                  <w:tcW w:w="83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3E41DA05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  <w:t xml:space="preserve">21.43%</w:t>
                  </w:r>
                </w:p>
              </w:tc>
              <w:tc>
                <w:tcPr>
                  <w:tcW w:w="801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4CB2D9DF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  <w:t xml:space="preserve">5.36%</w:t>
                  </w:r>
                </w:p>
              </w:tc>
              <w:tc>
                <w:tcPr>
                  <w:tcW w:w="780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28F7CF50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  <w:t xml:space="preserve">+300.00%</w:t>
                  </w:r>
                </w:p>
              </w:tc>
              <w:tc>
                <w:tcPr>
                  <w:tcW w:w="150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shd w:val="clear" w:color="auto" w:fill="auto"/>
                  <w:vAlign w:val="center"/>
                </w:tcPr>
                <w:p w14:paraId="782E5EF3">
                  <w:pPr>
                    <w:widowControl/>
                    <w:spacing w:line="360" w:lineRule="auto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  <w:t xml:space="preserve">旧诊断器 完整信息</w:t>
                  </w:r>
                </w:p>
              </w:tc>
            </w:tr>
            <w:tr w14:paraId="6CA6FAA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076" w:type="pct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4681649F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  <w:t xml:space="preserve">已判错误率</w:t>
                  </w:r>
                </w:p>
              </w:tc>
              <w:tc>
                <w:tcPr>
                  <w:tcW w:w="83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53910140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  <w:t xml:space="preserve">0.00%</w:t>
                  </w:r>
                </w:p>
              </w:tc>
              <w:tc>
                <w:tcPr>
                  <w:tcW w:w="801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5F73F753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  <w:t xml:space="preserve">0.00%</w:t>
                  </w:r>
                </w:p>
              </w:tc>
              <w:tc>
                <w:tcPr>
                  <w:tcW w:w="780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204CC381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  <w:t xml:space="preserve">基线0 不计算</w:t>
                  </w:r>
                </w:p>
              </w:tc>
              <w:tc>
                <w:tcPr>
                  <w:tcW w:w="150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shd w:val="clear" w:color="auto" w:fill="auto"/>
                  <w:vAlign w:val="center"/>
                </w:tcPr>
                <w:p w14:paraId="20CA7B9C">
                  <w:pPr>
                    <w:widowControl/>
                    <w:spacing w:line="360" w:lineRule="auto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  <w:t xml:space="preserve">旧诊断器 完整信息</w:t>
                  </w:r>
                </w:p>
              </w:tc>
            </w:tr>
            <w:tr w14:paraId="5EA4C8E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076" w:type="pct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53B48761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  <w:t xml:space="preserve">平均查询次数</w:t>
                  </w:r>
                </w:p>
              </w:tc>
              <w:tc>
                <w:tcPr>
                  <w:tcW w:w="83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0E6064D6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  <w:t xml:space="preserve">3.357次</w:t>
                  </w:r>
                </w:p>
              </w:tc>
              <w:tc>
                <w:tcPr>
                  <w:tcW w:w="801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69B36F66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  <w:t xml:space="preserve">3.357次</w:t>
                  </w:r>
                </w:p>
              </w:tc>
              <w:tc>
                <w:tcPr>
                  <w:tcW w:w="780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2EAAAFEF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  <w:t xml:space="preserve">+0.00%</w:t>
                  </w:r>
                </w:p>
              </w:tc>
              <w:tc>
                <w:tcPr>
                  <w:tcW w:w="150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shd w:val="clear" w:color="auto" w:fill="auto"/>
                  <w:vAlign w:val="center"/>
                </w:tcPr>
                <w:p w14:paraId="6BB376A2">
                  <w:pPr>
                    <w:widowControl/>
                    <w:spacing w:line="360" w:lineRule="auto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  <w:t xml:space="preserve">固定流程 预算4</w:t>
                  </w:r>
                </w:p>
              </w:tc>
            </w:tr>
            <w:tr w14:paraId="67A735D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</w:trPr>
              <w:tc>
                <w:tcPr>
                  <w:tcW w:w="1076" w:type="pct"/>
                  <w:tcBorders>
                    <w:top w:val="single" w:color="000000" w:sz="4" w:space="0"/>
                    <w:left w:val="single" w:color="000000" w:sz="8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67E869EF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  <w:t xml:space="preserve">端到端耗时</w:t>
                  </w:r>
                </w:p>
              </w:tc>
              <w:tc>
                <w:tcPr>
                  <w:tcW w:w="833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73060EA5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  <w:t xml:space="preserve">15.820毫秒</w:t>
                  </w:r>
                </w:p>
              </w:tc>
              <w:tc>
                <w:tcPr>
                  <w:tcW w:w="801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0AA3DF57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  <w:t xml:space="preserve">15.805毫秒</w:t>
                  </w:r>
                </w:p>
              </w:tc>
              <w:tc>
                <w:tcPr>
                  <w:tcW w:w="780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vAlign w:val="center"/>
                </w:tcPr>
                <w:p w14:paraId="47C92DF5">
                  <w:pPr>
                    <w:widowControl/>
                    <w:spacing w:line="360" w:lineRule="auto"/>
                    <w:jc w:val="left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  <w:t xml:space="preserve">-0.09%</w:t>
                  </w:r>
                </w:p>
              </w:tc>
              <w:tc>
                <w:tcPr>
                  <w:tcW w:w="150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8" w:space="0"/>
                  </w:tcBorders>
                  <w:shd w:val="clear" w:color="auto" w:fill="auto"/>
                  <w:vAlign w:val="center"/>
                </w:tcPr>
                <w:p w14:paraId="6F22AFA9">
                  <w:pPr>
                    <w:widowControl/>
                    <w:spacing w:line="360" w:lineRule="auto"/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</w:pPr>
                  <w:r>
                    <w:rPr>
                      <w:rFonts w:ascii="Times New Roman" w:hAnsi="Times New Roman" w:eastAsia="仿宋" w:cs="仿宋"/>
                      <w:color w:val="000000"/>
                      <w:szCs w:val="21"/>
                    </w:rPr>
                    <w:t xml:space="preserve">固定流程 预算4</w:t>
                  </w:r>
                </w:p>
              </w:tc>
            </w:tr>
          </w:tbl>
          <w:p w14:paraId="290D2574">
            <w:pPr>
              <w:widowControl/>
              <w:rPr>
                <w:rFonts w:ascii="Times New Roman" w:hAnsi="Times New Roman" w:eastAsia="仿宋" w:cs="Times New Roman"/>
                <w:color w:val="595959"/>
                <w:kern w:val="0"/>
                <w:sz w:val="24"/>
              </w:rPr>
            </w:pPr>
          </w:p>
        </w:tc>
      </w:tr>
      <w:tr w14:paraId="1BCD2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2" w:type="dxa"/>
            <w:left w:w="108" w:type="dxa"/>
            <w:bottom w:w="142" w:type="dxa"/>
            <w:right w:w="108" w:type="dxa"/>
          </w:tblCellMar>
        </w:tblPrEx>
        <w:trPr>
          <w:trHeight w:val="1140" w:hRule="atLeast"/>
          <w:jc w:val="center"/>
        </w:trPr>
        <w:tc>
          <w:tcPr>
            <w:tcW w:w="1792" w:type="dxa"/>
            <w:vMerge w:val="continue"/>
            <w:shd w:val="clear" w:color="auto" w:fill="E7E6E6"/>
            <w:vAlign w:val="center"/>
          </w:tcPr>
          <w:p w14:paraId="71A2BBC4">
            <w:pPr>
              <w:widowControl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1"/>
              </w:rPr>
            </w:pPr>
          </w:p>
        </w:tc>
        <w:tc>
          <w:tcPr>
            <w:tcW w:w="1464" w:type="dxa"/>
            <w:vAlign w:val="center"/>
          </w:tcPr>
          <w:p w14:paraId="66A02A37">
            <w:pPr>
              <w:widowControl/>
              <w:rPr>
                <w:rFonts w:ascii="Times New Roman" w:hAnsi="Times New Roman" w:eastAsia="仿宋" w:cs="Times New Roman"/>
                <w:color w:val="595959"/>
                <w:kern w:val="0"/>
                <w:sz w:val="24"/>
              </w:rPr>
            </w:pP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>提升维度（可多选）：</w:t>
            </w:r>
          </w:p>
        </w:tc>
        <w:tc>
          <w:tcPr>
            <w:tcW w:w="7234" w:type="dxa"/>
            <w:gridSpan w:val="3"/>
            <w:vAlign w:val="center"/>
          </w:tcPr>
          <w:p w14:paraId="1313A8BC">
            <w:pPr>
              <w:widowControl/>
              <w:spacing w:line="360" w:lineRule="auto"/>
              <w:rPr>
                <w:rFonts w:ascii="Times New Roman" w:hAnsi="Times New Roman" w:eastAsia="仿宋" w:cs="仿宋"/>
                <w:kern w:val="0"/>
                <w:sz w:val="24"/>
                <w:szCs w:val="18"/>
                <w:u w:val="single"/>
              </w:rPr>
            </w:pPr>
            <w:r>
              <w:rPr>
                <w:rFonts w:ascii="Times New Roman" w:hAnsi="Times New Roman" w:eastAsia="仿宋" w:cs="仿宋"/>
                <w:kern w:val="0"/>
                <w:sz w:val="24"/>
                <w:szCs w:val="18"/>
              </w:rPr>
              <w:sym w:font="Wingdings 2" w:char="00A3"/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</w:rPr>
              <w:t xml:space="preserve">已有功能：数据修复后继续核验；支持与反驳证据、下一步动作可见。技术改善以所附时间留出结果为准，不填写现场成本或节能收益。</w:t>
            </w:r>
            <w:r>
              <w:rPr>
                <w:rFonts w:hint="eastAsia" w:ascii="Times New Roman" w:hAnsi="Times New Roman" w:eastAsia="仿宋" w:cs="仿宋"/>
                <w:kern w:val="0"/>
                <w:sz w:val="24"/>
                <w:szCs w:val="18"/>
                <w:u w:val="single"/>
              </w:rPr>
              <w:t xml:space="preserve"/>
            </w:r>
          </w:p>
        </w:tc>
      </w:tr>
    </w:tbl>
    <w:p w14:paraId="44058CED">
      <w:bookmarkStart w:id="8" w:name="_GoBack"/>
      <w:bookmarkEnd w:id="8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1" w:fontKey="{7AF563C4-34D6-4E03-89B5-3674323779EC}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黑体_GBK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9AABD739-417C-4C4C-A62C-829D6C4A6EBA}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  <w:embedRegular r:id="rId3" w:fontKey="{C835C360-9FBA-457D-AB94-D833C240D37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288CFF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8FF558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48FF558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165"/>
    <w:rsid w:val="00031165"/>
    <w:rsid w:val="0037319A"/>
    <w:rsid w:val="005123E3"/>
    <w:rsid w:val="005D78D3"/>
    <w:rsid w:val="005F7FC1"/>
    <w:rsid w:val="006022A5"/>
    <w:rsid w:val="006B55D6"/>
    <w:rsid w:val="00727B81"/>
    <w:rsid w:val="007E416A"/>
    <w:rsid w:val="00971413"/>
    <w:rsid w:val="00B40E5B"/>
    <w:rsid w:val="00C23A47"/>
    <w:rsid w:val="00EF0A52"/>
    <w:rsid w:val="00FA1DE6"/>
    <w:rsid w:val="035E7A16"/>
    <w:rsid w:val="06941DC6"/>
    <w:rsid w:val="19F6DA34"/>
    <w:rsid w:val="1C2838BF"/>
    <w:rsid w:val="1D485456"/>
    <w:rsid w:val="1F6B6AC0"/>
    <w:rsid w:val="1FFFE5BD"/>
    <w:rsid w:val="28CA642A"/>
    <w:rsid w:val="2BDF9E85"/>
    <w:rsid w:val="333FDE2C"/>
    <w:rsid w:val="3F67793C"/>
    <w:rsid w:val="42B0500A"/>
    <w:rsid w:val="4E7E31A0"/>
    <w:rsid w:val="56FBDE94"/>
    <w:rsid w:val="57F3806F"/>
    <w:rsid w:val="5BCF7AD3"/>
    <w:rsid w:val="5D6737D9"/>
    <w:rsid w:val="5F7104CA"/>
    <w:rsid w:val="5FF7D9B7"/>
    <w:rsid w:val="61302E91"/>
    <w:rsid w:val="65E81C09"/>
    <w:rsid w:val="68FE2FAA"/>
    <w:rsid w:val="6AEFC613"/>
    <w:rsid w:val="6C0543DC"/>
    <w:rsid w:val="6D7B6243"/>
    <w:rsid w:val="729F83BF"/>
    <w:rsid w:val="73AFC5D2"/>
    <w:rsid w:val="74EE481B"/>
    <w:rsid w:val="7BE7BF6D"/>
    <w:rsid w:val="7DEB5D9B"/>
    <w:rsid w:val="7EBF4FF9"/>
    <w:rsid w:val="7EF214DF"/>
    <w:rsid w:val="7F3FB076"/>
    <w:rsid w:val="7FA3E9E9"/>
    <w:rsid w:val="7FFC1E6F"/>
    <w:rsid w:val="95F7AE71"/>
    <w:rsid w:val="AFAFA80C"/>
    <w:rsid w:val="BEDDDA19"/>
    <w:rsid w:val="CD9D93A6"/>
    <w:rsid w:val="D2DFB62A"/>
    <w:rsid w:val="D7F3D222"/>
    <w:rsid w:val="D7FF1812"/>
    <w:rsid w:val="DBDD2C26"/>
    <w:rsid w:val="DDC75C74"/>
    <w:rsid w:val="E7DF63B9"/>
    <w:rsid w:val="EFFFCDC6"/>
    <w:rsid w:val="EFFFCFFB"/>
    <w:rsid w:val="F4FFBB93"/>
    <w:rsid w:val="F57B7FA2"/>
    <w:rsid w:val="F9A4F9A6"/>
    <w:rsid w:val="FBA7009F"/>
    <w:rsid w:val="FBDF64D5"/>
    <w:rsid w:val="FBEF3ABD"/>
    <w:rsid w:val="FDEECDC1"/>
    <w:rsid w:val="FDF4B82A"/>
    <w:rsid w:val="FDF7CF12"/>
    <w:rsid w:val="FEFE7C39"/>
    <w:rsid w:val="FF5F2A4D"/>
    <w:rsid w:val="FFE7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line="360" w:lineRule="auto"/>
      <w:ind w:firstLine="200" w:firstLineChars="200"/>
    </w:pPr>
    <w:rPr>
      <w:rFonts w:ascii="仿宋" w:hAnsi="Calibri" w:eastAsia="仿宋" w:cs="Times New Roman"/>
      <w:sz w:val="30"/>
      <w:szCs w:val="30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character" w:customStyle="1" w:styleId="10">
    <w:name w:val="10"/>
    <w:basedOn w:val="8"/>
    <w:qFormat/>
    <w:uiPriority w:val="0"/>
    <w:rPr>
      <w:rFonts w:hint="default" w:ascii="Times New Roman" w:hAnsi="Times New Roman" w:cs="Times New Roman"/>
    </w:rPr>
  </w:style>
  <w:style w:type="character" w:customStyle="1" w:styleId="11">
    <w:name w:val="15"/>
    <w:basedOn w:val="8"/>
    <w:qFormat/>
    <w:uiPriority w:val="0"/>
    <w:rPr>
      <w:rFonts w:hint="default" w:ascii="Times New Roman" w:hAnsi="Times New Roman" w:cs="Times New Roman"/>
      <w:b/>
    </w:rPr>
  </w:style>
  <w:style w:type="paragraph" w:customStyle="1" w:styleId="12">
    <w:name w:val="指南标题3"/>
    <w:qFormat/>
    <w:uiPriority w:val="0"/>
    <w:pPr>
      <w:keepNext/>
      <w:keepLines/>
      <w:widowControl w:val="0"/>
      <w:spacing w:line="360" w:lineRule="auto"/>
      <w:outlineLvl w:val="2"/>
    </w:pPr>
    <w:rPr>
      <w:rFonts w:ascii="仿宋" w:hAnsi="宋体" w:eastAsia="仿宋" w:cs="Times New Roman"/>
      <w:b/>
      <w:color w:val="000000"/>
      <w:kern w:val="2"/>
      <w:sz w:val="32"/>
      <w:szCs w:val="32"/>
      <w:lang w:val="en-US" w:eastAsia="zh-CN" w:bidi="ar-SA"/>
    </w:rPr>
  </w:style>
  <w:style w:type="paragraph" w:customStyle="1" w:styleId="13">
    <w:name w:val="Table Text"/>
    <w:basedOn w:val="1"/>
    <w:hidden/>
    <w:qFormat/>
    <w:uiPriority w:val="0"/>
    <w:pPr>
      <w:spacing w:before="127" w:line="360" w:lineRule="auto"/>
      <w:jc w:val="center"/>
    </w:pPr>
    <w:rPr>
      <w:rFonts w:ascii="仿宋" w:hAnsi="仿宋" w:eastAsia="仿宋" w:cs="Times New Roman"/>
      <w:sz w:val="28"/>
      <w:szCs w:val="28"/>
    </w:rPr>
  </w:style>
  <w:style w:type="paragraph" w:customStyle="1" w:styleId="14">
    <w:name w:val="指南标题2"/>
    <w:qFormat/>
    <w:uiPriority w:val="0"/>
    <w:pPr>
      <w:keepNext/>
      <w:keepLines/>
      <w:widowControl w:val="0"/>
      <w:spacing w:line="360" w:lineRule="auto"/>
      <w:outlineLvl w:val="1"/>
    </w:pPr>
    <w:rPr>
      <w:rFonts w:ascii="黑体" w:hAnsi="Microsoft YaHei UI" w:eastAsia="黑体" w:cs="Times New Roman"/>
      <w:b/>
      <w:color w:val="000000"/>
      <w:kern w:val="2"/>
      <w:sz w:val="32"/>
      <w:szCs w:val="32"/>
      <w:lang w:val="en-US" w:eastAsia="zh-CN" w:bidi="ar-SA"/>
    </w:rPr>
  </w:style>
  <w:style w:type="character" w:customStyle="1" w:styleId="15">
    <w:name w:val="17"/>
    <w:basedOn w:val="8"/>
    <w:qFormat/>
    <w:uiPriority w:val="0"/>
    <w:rPr>
      <w:rFonts w:hint="default" w:ascii="方正黑体_GBK" w:hAnsi="方正黑体_GBK" w:eastAsia="方正黑体_GBK" w:cs="方正黑体_GBK"/>
      <w:color w:val="FF0000"/>
      <w:sz w:val="24"/>
      <w:szCs w:val="24"/>
    </w:rPr>
  </w:style>
  <w:style w:type="character" w:customStyle="1" w:styleId="16">
    <w:name w:val="18"/>
    <w:basedOn w:val="8"/>
    <w:qFormat/>
    <w:uiPriority w:val="0"/>
    <w:rPr>
      <w:rFonts w:hint="eastAsia" w:ascii="宋体" w:hAnsi="宋体" w:eastAsia="宋体" w:cs="宋体"/>
      <w:color w:val="0070C0"/>
      <w:sz w:val="22"/>
      <w:szCs w:val="22"/>
    </w:rPr>
  </w:style>
  <w:style w:type="character" w:customStyle="1" w:styleId="17">
    <w:name w:val="16"/>
    <w:basedOn w:val="8"/>
    <w:qFormat/>
    <w:uiPriority w:val="0"/>
    <w:rPr>
      <w:rFonts w:hint="default" w:ascii="Times New Roman" w:hAnsi="Times New Roman" w:cs="Times New Roman"/>
      <w:color w:val="800080"/>
      <w:u w:val="single"/>
    </w:rPr>
  </w:style>
  <w:style w:type="paragraph" w:customStyle="1" w:styleId="18">
    <w:name w:val="正文-公1"/>
    <w:basedOn w:val="1"/>
    <w:qFormat/>
    <w:uiPriority w:val="0"/>
    <w:pPr>
      <w:spacing w:line="360" w:lineRule="auto"/>
      <w:ind w:firstLine="200" w:firstLineChars="200"/>
    </w:pPr>
    <w:rPr>
      <w:rFonts w:ascii="仿宋" w:hAnsi="Calibri" w:eastAsia="仿宋" w:cs="Times New Roman"/>
      <w:sz w:val="32"/>
      <w:szCs w:val="32"/>
    </w:rPr>
  </w:style>
  <w:style w:type="paragraph" w:customStyle="1" w:styleId="19">
    <w:name w:val="指南标题1"/>
    <w:qFormat/>
    <w:uiPriority w:val="0"/>
    <w:pPr>
      <w:keepNext/>
      <w:keepLines/>
      <w:widowControl w:val="0"/>
      <w:spacing w:after="120" w:line="360" w:lineRule="auto"/>
      <w:jc w:val="center"/>
      <w:outlineLvl w:val="0"/>
    </w:pPr>
    <w:rPr>
      <w:rFonts w:ascii="方正小标宋简体" w:hAnsi="Microsoft YaHei UI" w:eastAsia="方正小标宋简体" w:cs="Times New Roman"/>
      <w:b/>
      <w:color w:val="000000"/>
      <w:kern w:val="44"/>
      <w:sz w:val="36"/>
      <w:szCs w:val="36"/>
      <w:lang w:val="en-US" w:eastAsia="zh-CN" w:bidi="ar-SA"/>
    </w:rPr>
  </w:style>
  <w:style w:type="paragraph" w:customStyle="1" w:styleId="20">
    <w:name w:val="指南标题"/>
    <w:basedOn w:val="1"/>
    <w:qFormat/>
    <w:uiPriority w:val="0"/>
    <w:pPr>
      <w:spacing w:line="360" w:lineRule="auto"/>
      <w:ind w:left="1433" w:hanging="1433" w:hangingChars="398"/>
      <w:jc w:val="center"/>
    </w:pPr>
    <w:rPr>
      <w:rFonts w:ascii="方正小标宋简体" w:hAnsi="微软雅黑" w:eastAsia="方正小标宋简体" w:cs="Times New Roman"/>
      <w:sz w:val="36"/>
      <w:szCs w:val="36"/>
    </w:rPr>
  </w:style>
  <w:style w:type="table" w:customStyle="1" w:styleId="21">
    <w:name w:val="Table Normal1"/>
    <w:basedOn w:val="6"/>
    <w:qFormat/>
    <w:uiPriority w:val="0"/>
    <w:tblPr>
      <w:tblCellMar>
        <w:left w:w="0" w:type="dxa"/>
        <w:right w:w="0" w:type="dxa"/>
      </w:tblCellMar>
    </w:tblPr>
  </w:style>
  <w:style w:type="character" w:customStyle="1" w:styleId="22">
    <w:name w:val="font61"/>
    <w:basedOn w:val="8"/>
    <w:autoRedefine/>
    <w:qFormat/>
    <w:uiPriority w:val="0"/>
    <w:rPr>
      <w:rFonts w:hint="default" w:ascii="方正黑体_GBK" w:hAnsi="方正黑体_GBK" w:eastAsia="方正黑体_GBK" w:cs="方正黑体_GBK"/>
      <w:color w:val="FF0000"/>
      <w:sz w:val="24"/>
      <w:szCs w:val="24"/>
      <w:u w:val="none"/>
    </w:rPr>
  </w:style>
  <w:style w:type="character" w:customStyle="1" w:styleId="23">
    <w:name w:val="font31"/>
    <w:basedOn w:val="8"/>
    <w:autoRedefine/>
    <w:qFormat/>
    <w:uiPriority w:val="0"/>
    <w:rPr>
      <w:rFonts w:hint="eastAsia" w:ascii="宋体" w:hAnsi="宋体" w:eastAsia="宋体" w:cs="宋体"/>
      <w:color w:val="0070C0"/>
      <w:sz w:val="22"/>
      <w:szCs w:val="22"/>
      <w:u w:val="none"/>
    </w:rPr>
  </w:style>
  <w:style w:type="paragraph" w:customStyle="1" w:styleId="24">
    <w:name w:val="Revision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0</Pages>
  <Words>0</Words>
  <Characters>0</Characters>
  <Lines>0</Lines>
  <Paragraphs>0</Paragraphs>
  <TotalTime>0</TotalTime>
  <ScaleCrop>false</ScaleCrop>
  <LinksUpToDate>false</LinksUpToDate>
  <CharactersWithSpaces>0</CharactersWithSpaces>
  <Application/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2025-06-04T12:42:00Z</dcterms:created>
  <dc:creator/>
  <cp:lastModifiedBy/>
  <dcterms:modified xsi:type="dcterms:W3CDTF">2026-06-26T10:41:35Z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