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1D61C">
      <w:pPr>
        <w:spacing w:line="360" w:lineRule="auto"/>
        <w:ind w:left="836" w:hanging="1114" w:hangingChars="398"/>
        <w:jc w:val="left"/>
        <w:rPr>
          <w:rFonts w:ascii="Times New Roman" w:hAnsi="Times New Roman" w:eastAsia="仿宋" w:cs="Times New Roman"/>
          <w:sz w:val="28"/>
          <w:szCs w:val="28"/>
        </w:rPr>
      </w:pPr>
      <w:r>
        <w:rPr>
          <w:rFonts w:hint="eastAsia" w:ascii="Times New Roman" w:hAnsi="Times New Roman" w:eastAsia="仿宋" w:cs="Times New Roman"/>
          <w:sz w:val="28"/>
          <w:szCs w:val="28"/>
        </w:rPr>
        <w:t>附件</w:t>
      </w:r>
      <w:r>
        <w:rPr>
          <w:rFonts w:ascii="Times New Roman" w:hAnsi="Times New Roman" w:eastAsia="仿宋" w:cs="Times New Roman"/>
          <w:sz w:val="28"/>
          <w:szCs w:val="28"/>
        </w:rPr>
        <w:t>2</w:t>
      </w:r>
      <w:r>
        <w:rPr>
          <w:rFonts w:hint="eastAsia" w:ascii="Times New Roman" w:hAnsi="Times New Roman" w:eastAsia="仿宋" w:cs="Times New Roman"/>
          <w:sz w:val="28"/>
          <w:szCs w:val="28"/>
        </w:rPr>
        <w:t>：</w:t>
      </w:r>
    </w:p>
    <w:p w14:paraId="38308DFF">
      <w:pPr>
        <w:widowControl/>
        <w:spacing w:line="360" w:lineRule="auto"/>
        <w:jc w:val="center"/>
        <w:rPr>
          <w:rFonts w:ascii="方正小标宋简体" w:hAnsi="方正小标宋简体" w:eastAsia="方正小标宋简体" w:cs="方正小标宋简体"/>
          <w:sz w:val="36"/>
          <w:szCs w:val="36"/>
        </w:rPr>
      </w:pPr>
      <w:bookmarkStart w:id="0" w:name="_Toc479323114"/>
      <w:bookmarkStart w:id="1" w:name="_Toc479323335"/>
      <w:r>
        <w:rPr>
          <w:rFonts w:hint="eastAsia" w:ascii="方正小标宋简体" w:hAnsi="方正小标宋简体" w:eastAsia="方正小标宋简体" w:cs="方正小标宋简体"/>
          <w:sz w:val="36"/>
          <w:szCs w:val="36"/>
        </w:rPr>
        <w:t>第</w:t>
      </w:r>
      <w:r>
        <w:rPr>
          <w:rFonts w:hint="eastAsia" w:ascii="方正小标宋简体" w:hAnsi="方正小标宋简体" w:eastAsia="方正小标宋简体" w:cs="方正小标宋简体"/>
          <w:sz w:val="36"/>
          <w:szCs w:val="36"/>
          <w:lang w:eastAsia="zh-Hans"/>
        </w:rPr>
        <w:t>十二</w:t>
      </w:r>
      <w:r>
        <w:rPr>
          <w:rFonts w:hint="eastAsia" w:ascii="方正小标宋简体" w:hAnsi="方正小标宋简体" w:eastAsia="方正小标宋简体" w:cs="方正小标宋简体"/>
          <w:sz w:val="36"/>
          <w:szCs w:val="36"/>
        </w:rPr>
        <w:t>届中国研究生智慧城市技术与创意设计大赛</w:t>
      </w:r>
      <w:bookmarkEnd w:id="0"/>
      <w:bookmarkEnd w:id="1"/>
      <w:bookmarkStart w:id="2" w:name="_Toc479323115"/>
      <w:bookmarkStart w:id="3" w:name="_Toc479323336"/>
    </w:p>
    <w:p w14:paraId="5E124335">
      <w:pPr>
        <w:spacing w:line="360" w:lineRule="auto"/>
        <w:ind w:left="210" w:leftChars="100" w:right="210" w:rightChars="100"/>
        <w:jc w:val="center"/>
        <w:rPr>
          <w:rFonts w:ascii="方正小标宋简体" w:hAnsi="方正小标宋简体" w:eastAsia="方正小标宋简体" w:cs="方正小标宋简体"/>
          <w:sz w:val="36"/>
          <w:szCs w:val="36"/>
        </w:rPr>
      </w:pPr>
      <w:bookmarkStart w:id="4" w:name="_Toc108088508"/>
      <w:bookmarkStart w:id="5" w:name="_Toc7210847"/>
      <w:r>
        <w:rPr>
          <w:rFonts w:hint="eastAsia" w:ascii="方正小标宋简体" w:hAnsi="方正小标宋简体" w:eastAsia="方正小标宋简体" w:cs="方正小标宋简体"/>
          <w:sz w:val="36"/>
          <w:szCs w:val="36"/>
        </w:rPr>
        <w:t>创意设计赛</w:t>
      </w:r>
      <w:bookmarkEnd w:id="2"/>
      <w:bookmarkEnd w:id="3"/>
      <w:bookmarkStart w:id="6" w:name="_Toc479323337"/>
      <w:bookmarkStart w:id="7" w:name="_Toc479323116"/>
      <w:r>
        <w:rPr>
          <w:rFonts w:hint="eastAsia" w:ascii="方正小标宋简体" w:hAnsi="方正小标宋简体" w:eastAsia="方正小标宋简体" w:cs="方正小标宋简体"/>
          <w:sz w:val="36"/>
          <w:szCs w:val="36"/>
        </w:rPr>
        <w:t>项目说明书</w:t>
      </w:r>
      <w:bookmarkEnd w:id="4"/>
      <w:bookmarkEnd w:id="5"/>
      <w:bookmarkEnd w:id="6"/>
      <w:bookmarkEnd w:id="7"/>
    </w:p>
    <w:p w14:paraId="76EB37B1">
      <w:pPr>
        <w:widowControl/>
        <w:spacing w:line="360" w:lineRule="auto"/>
        <w:jc w:val="center"/>
        <w:rPr>
          <w:rFonts w:ascii="Times New Roman" w:hAnsi="Times New Roman" w:eastAsia="仿宋" w:cs="Times New Roman"/>
          <w:sz w:val="28"/>
          <w:szCs w:val="36"/>
        </w:rPr>
      </w:pPr>
      <w:r>
        <w:rPr>
          <w:rFonts w:hint="eastAsia" w:ascii="Times New Roman" w:hAnsi="Times New Roman" w:eastAsia="仿宋" w:cs="Times New Roman"/>
          <w:sz w:val="28"/>
          <w:szCs w:val="36"/>
        </w:rPr>
        <w:t xml:space="preserve">（可编辑底稿 待视觉复检 非正式提交版）</w:t>
      </w:r>
    </w:p>
    <w:p w14:paraId="3E1A4D6B">
      <w:pPr>
        <w:widowControl/>
        <w:snapToGrid w:val="0"/>
        <w:spacing w:line="360" w:lineRule="auto"/>
        <w:rPr>
          <w:rFonts w:ascii="Times New Roman" w:hAnsi="Times New Roman" w:eastAsia="仿宋" w:cs="Times New Roman"/>
          <w:b/>
          <w:sz w:val="28"/>
          <w:szCs w:val="28"/>
        </w:rPr>
      </w:pPr>
      <w:r>
        <w:rPr>
          <w:rFonts w:ascii="Times New Roman" w:hAnsi="Times New Roman" w:eastAsia="仿宋" w:cs="Times New Roman"/>
          <w:b/>
          <w:sz w:val="28"/>
          <w:szCs w:val="28"/>
        </w:rPr>
        <w:t xml:space="preserve">能智核 公共建筑用能异常核验工作台</w:t>
      </w:r>
    </w:p>
    <w:p w14:paraId="32E7B382">
      <w:pPr>
        <w:widowControl/>
        <w:snapToGrid w:val="0"/>
        <w:spacing w:line="360" w:lineRule="auto"/>
        <w:rPr>
          <w:rFonts w:ascii="Times New Roman" w:hAnsi="Times New Roman" w:eastAsia="仿宋" w:cs="Times New Roman"/>
          <w:sz w:val="28"/>
          <w:szCs w:val="28"/>
        </w:rPr>
      </w:pPr>
      <w:r>
        <w:rPr>
          <w:rFonts w:hint="eastAsia" w:ascii="Times New Roman" w:hAnsi="Times New Roman" w:eastAsia="仿宋" w:cs="Times New Roman"/>
          <w:b/>
          <w:sz w:val="28"/>
          <w:szCs w:val="28"/>
        </w:rPr>
        <w:t>一、立项依据</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2000</w:t>
      </w:r>
      <w:r>
        <w:rPr>
          <w:rFonts w:hint="eastAsia" w:ascii="Times New Roman" w:hAnsi="Times New Roman" w:eastAsia="仿宋" w:cs="Times New Roman"/>
          <w:sz w:val="28"/>
          <w:szCs w:val="28"/>
        </w:rPr>
        <w:t>字）</w:t>
      </w:r>
    </w:p>
    <w:p w14:paraId="20B01077">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本项目解决公共建筑用能告警之后的核验问题。面对一条异常曲线，工作人员需要先辨别记录是否可信、运行工况是否适合诊断、证据支持何种设备疑点，以及还需查什么。能智核以可操作工作台呈现这一过程，目标是帮助人理解并复查结论，而不是仅生成一份分析报告。节能机会筛查属于附属能力，主任务为用能异常核验。</w:t>
      </w:r>
      <w:r>
        <w:rPr>
          <w:rFonts w:ascii="Times New Roman" w:hAnsi="Times New Roman" w:eastAsia="仿宋" w:cs="Times New Roman"/>
          <w:sz w:val="28"/>
          <w:szCs w:val="28"/>
        </w:rPr>
        <w:t/>
      </w:r>
      <w:r>
        <w:rPr>
          <w:rFonts w:hint="eastAsia" w:ascii="Times New Roman" w:hAnsi="Times New Roman" w:eastAsia="仿宋" w:cs="Times New Roman"/>
          <w:sz w:val="28"/>
          <w:szCs w:val="28"/>
        </w:rPr>
        <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现有能源分析可使用表计基准、规则告警与暖通故障检测。不同方法依赖的数据粒度和工况并不相同。建筑总表可以指出相对历史的用能差额，不能据此认定某个风阀或冷却盘管存在故障；全天平均值还可能把启停和局部有效工况混在一起。诊断必须说明使用哪些指令、温度和时段，不能将缺证当作正常，也不能把未定位异常计作正确分类。</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公开数据支持可复现的软件验证。BDG2包含真实建筑用能、天气与元数据；LBNL故障检测公开数据提供有标签的暖通仿真。两者分别证明真实数据接入回放和窄范围仿真诊断，不合并成真实楼宇设备定位证据。LBNL文件中与故障注入重合的实际位置反馈、故障名称和标签不进入诊断输入。未开展商业竞品横评或市场规模调查，不作国内外领先评价。</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首轮四种策略的10条正确记录完全重合，包含2条正常与8条盘管泄漏。完整信息取得四组证据，但运行背景未进入旧判定。32条未决的互斥主因为18条判据结构不适用、6条停机工况不适用、8条缺乏稳定关阀证据；本批无未决可归因于单位或字段错误。本轮修复判据和证据窗口，适当保留停机与缺证未决。旧42条只作开发回归，新日期只称同一仿真系统的时间留出验证。</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数据与技术依据：Miller等，The Building Data Genome Project 2，Scientific Data，2020，doi:10.1038/s41597-020-00712-x；Granderson等，LBNL FDD Datasets，doi:10.25984/1881324；LBNL公开的单风道空调机组数据说明。数据署名及许可随复现包保留。</w:t>
      </w:r>
    </w:p>
    <w:p w14:paraId="77AED8AD">
      <w:pPr>
        <w:widowControl/>
        <w:snapToGrid w:val="0"/>
        <w:spacing w:line="360" w:lineRule="auto"/>
        <w:rPr>
          <w:rFonts w:ascii="Times New Roman" w:hAnsi="Times New Roman" w:eastAsia="仿宋" w:cs="Times New Roman"/>
          <w:sz w:val="28"/>
          <w:szCs w:val="28"/>
        </w:rPr>
      </w:pPr>
      <w:r>
        <w:rPr>
          <w:rFonts w:hint="eastAsia" w:ascii="Times New Roman" w:hAnsi="Times New Roman" w:eastAsia="仿宋" w:cs="Times New Roman"/>
          <w:b/>
          <w:sz w:val="28"/>
          <w:szCs w:val="28"/>
        </w:rPr>
        <w:t>二、项目创新内容</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3F8F2776">
      <w:pPr>
        <w:widowControl/>
        <w:snapToGrid w:val="0"/>
        <w:spacing w:line="360" w:lineRule="auto"/>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1．</w:t>
      </w:r>
      <w:r>
        <w:rPr>
          <w:rFonts w:hint="eastAsia" w:ascii="Times New Roman" w:hAnsi="Times New Roman" w:eastAsia="仿宋" w:cs="Times New Roman"/>
          <w:sz w:val="28"/>
          <w:szCs w:val="28"/>
        </w:rPr>
        <w:t>项目总体思路</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将“告警之后，先查什么”具体化为四个可见部分：当前工况、支持与反驳证据、判断状态、下一步动作。核验前先确认记录质量和有效运行窗口，核验后将已知、未知和需要继续检查的内容同时交给使用者。数据质量与设备判断独立更新，记录修复不会自动清除设备疑点。</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架构保持单一数值诊断底座和简洁策略层。数据适配层负责时间、单位和允许字段；数值层计算窗口与证据并输出状态；策略层选择下一项查询；工作台展示过程并导出可追溯记录。固定流程与自适应规则使用同一诊断器。首轮本地免费模型保留为历史实验，本轮不增加复杂Agent、不接付费API。</w:t>
      </w:r>
    </w:p>
    <w:p w14:paraId="6B1AD3D8">
      <w:pPr>
        <w:widowControl/>
        <w:snapToGrid w:val="0"/>
        <w:spacing w:line="360" w:lineRule="auto"/>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2．</w:t>
      </w:r>
      <w:r>
        <w:rPr>
          <w:rFonts w:hint="eastAsia" w:ascii="Times New Roman" w:hAnsi="Times New Roman" w:eastAsia="仿宋" w:cs="Times New Roman"/>
          <w:sz w:val="28"/>
          <w:szCs w:val="28"/>
        </w:rPr>
        <w:t>可行性分析：项目的技术或实施可行性。</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已有独立本地网页原型、公开数据准备程序、诊断源码和逐例评测记录。首轮源码、结果与交付包完整保留，本轮在独立目录实施。计算依据LBNL文档核对温度单位、控制指令和实际反馈的区别、风机启停以及可用控制工况；只在满足可辨识条件的窗口形成设备结论。未运行、缺点位或证据冲突时保留未决并说明所需时段或点位。</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源数据有明确限制：四个盘管泄漏严重度文件内容相同，只保留一份代表；静压实值与设定值口径冲突，不进入定量诊断；故障注入相关实际执行器位置不作为分类捷径。因此当前结论不依赖直接位置反馈，也不能扩展为严重度估计或跨设备能力。</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冻结后评价覆盖同一仿真系统的14个日期块，日期为2018-06-04至2018-06-10、2018-07-09至2018-07-15；56个基础日工况各有原始与重复记录版本，共112条记录。相同完整允许证据下，旧诊断器正确6、错误0、未决106；新诊断器正确24、错误0、未决88。总体正确率从5.36%变为21.43%，结论覆盖率从5.36%变为21.43%，已判案例错误率从0.00%变为0.00%。正常／风阀卡滞／盘管泄漏召回分别为旧0.00%／10.71%／0.00%、新0.00%／42.86%／0.00%。新诊断器下，预算4的固定与自适应规则总体正确率为21.43%／21.43%，覆盖率21.43%／21.43%，已判错误率0.00%／0.00%，各类召回为固定0.00%／42.86%／0.00%、自适应0.00%／42.86%／0.00%；平均查询3.357／3.357次，端到端耗时15.805／15.820毫秒。旧／新完整信息端到端耗时为1.902／18.450毫秒。这些为本机单轮软件测量；未决未从分母剔除，不将配对版本当作独立建筑。本次正常与盘管泄漏召回均为0，新增正确结论全部来自风阀候选，已验证效果收缩为适用窗口中的风阀疑点核验，不能宣称通用三分类成功。</w:t>
      </w:r>
    </w:p>
    <w:p w14:paraId="4F2E3F0A">
      <w:pPr>
        <w:widowControl/>
        <w:snapToGrid w:val="0"/>
        <w:spacing w:line="360" w:lineRule="auto"/>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3．</w:t>
      </w:r>
      <w:r>
        <w:rPr>
          <w:rFonts w:hint="eastAsia" w:ascii="Times New Roman" w:hAnsi="Times New Roman" w:eastAsia="仿宋" w:cs="Times New Roman"/>
          <w:sz w:val="28"/>
          <w:szCs w:val="28"/>
        </w:rPr>
        <w:t>本项目的特色与创新之处。</w:t>
      </w:r>
      <w:r>
        <w:rPr>
          <w:rFonts w:ascii="Times New Roman" w:hAnsi="Times New Roman" w:eastAsia="仿宋" w:cs="Times New Roman"/>
          <w:sz w:val="28"/>
          <w:szCs w:val="28"/>
        </w:rPr>
        <w:t xml:space="preserve"> </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可申报的产品设计特色是把数据修复与设备核验组合为可操作证据闭环，并在未决时指明下一步所需条件。第三个演示修正完全重复记录后继续计算设备证据，使“数据变干净”与“设备没有问题”的区别能够被直接观察。支持和反驳证据同时呈现，避免只展示有利结论。</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本轮核对单位和字段语义，修复工况、局部窗口及判据实现，属于工程修复，不包装为原创故障算法。主动补证是否构成方法优势，由同底座、同预算、同证据池的规则对照决定。新诊断器在本次时间留出中提高结论覆盖，且错误率满足预先定义的相近范围；可表述为工况与证据窗口工程修复的收益。未证实自适应规则相对固定流程的查询收益；不追加新方法。本次正常与盘管泄漏召回均为0，新增正确结论全部来自风阀候选，已验证效果收缩为适用窗口中的风阀疑点核验，不能宣称通用三分类成功。</w:t>
      </w:r>
    </w:p>
    <w:p w14:paraId="48310B99">
      <w:pPr>
        <w:widowControl/>
        <w:snapToGrid w:val="0"/>
        <w:spacing w:line="360" w:lineRule="auto"/>
        <w:rPr>
          <w:rFonts w:ascii="Times New Roman" w:hAnsi="Times New Roman" w:eastAsia="仿宋" w:cs="Times New Roman"/>
          <w:b/>
          <w:sz w:val="28"/>
          <w:szCs w:val="28"/>
        </w:rPr>
      </w:pPr>
      <w:r>
        <w:rPr>
          <w:rFonts w:hint="eastAsia" w:ascii="Times New Roman" w:hAnsi="Times New Roman" w:eastAsia="仿宋" w:cs="Times New Roman"/>
          <w:b/>
          <w:sz w:val="28"/>
          <w:szCs w:val="28"/>
        </w:rPr>
        <w:t>三、实施方案</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3000</w:t>
      </w:r>
      <w:r>
        <w:rPr>
          <w:rFonts w:hint="eastAsia" w:ascii="Times New Roman" w:hAnsi="Times New Roman" w:eastAsia="仿宋" w:cs="Times New Roman"/>
          <w:sz w:val="28"/>
          <w:szCs w:val="28"/>
        </w:rPr>
        <w:t>字）</w:t>
      </w:r>
    </w:p>
    <w:p w14:paraId="2432FBDC">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实现形态为本地运行的核验工作台。案例数据、数值程序与页面分离；前端通过本地接口查询和计算证据，预算和可用证据改变后重新执行诊断，导出对应运行记录。页面保留实测、仿真和人为扰动标识，不能将演示回放误读为现场实时设备连接。</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接入流程先核对时间戳、采样间隔、重复和缺失，再统一温度单位、筛选允许字段。完全重复记录可以确定性去重；相同时间但数值冲突不能静默合并。运行窗使用实际启停和指令证据，排除不适用时间，避免全天平均掩盖局部响应。有效样本不足或缺少辨识所需激励时，系统给出需要补充的运行时段，而非放宽判据取得结论。</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风路将室外、回风和混合温度推算的混风响应与对应控制指令的正常参考范围比较，不把指令当作实测位置。盘管只在稳定关阀窗口比较相近风机指令条件下的温降，避免全天平均混淆启停和局部异常。正常参考范围由开发正常案例建立；开发泄漏样本只用于确定重叠拒判区，进一步收紧正常结论资格。运行背景参与适用性判定。运行时不输入故障标签、故障设置、文件名或实际执行器位置。仅有异常而无法确定类别的结果保持未决，不计作三分类正确。正常结论需要正向证据，不能由“未触发故障”反推。</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评测分两层。第一层让旧、新诊断器获得同一份完整允许证据，比较修复效果；第二层固定新诊断器，在主预算4下比较固定流程与自适应规则。完整信息参照取得全部允许证据，记录其实际查询量，不以预算4截断。查询记录数与现场补采成本分别报告，本轮为离线数据查询，未实施现场补采。</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旧42条案例仅用于错误归因、调试和回归。新日期在读取最终留出结果前按日期块确定开发与留出，同日期不同故障、强度与扰动版本整组归属，禁止随机拆窗。规则、阈值、证据池和评价口径冻结后执行最终评价。基础工况数、日期块数和记录版本数分列，不能把配对扰动版本当作独立建筑。</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报告总体正确率、各类召回、结论覆盖率、已判案例错误率、证据查询成本和端到端耗时。未决与失败保留在总体分母；耗时从输入文件读取解析到结果JSON编码，包含预处理、查询和诊断，不含网络、日志落盘及前端绘制。本机单轮顺序轮换测量不能替代独立时延研究。低错误率须结合覆盖率理解；软件耗时和离线查询减少不代表人工工时、维修效率或节能收益。</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三个演示保持一条操作主线。真实建筑演示显示历史用能与参考差额，仅供进一步核查。正常仿真演示显示正常判断所需的有效条件和正向证据。数据问题与设备疑点共存演示先显示重复记录，再执行修复并重新核验，展示修正后仍存在的设备疑点与下一步动作。演示案例不混入最终时间留出成绩。</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源码、启动说明、数据许可、输入哈希、冻结记录、逐例结果和汇总报告作为软件证明材料。参赛材料从已计算汇总回填；项目简表、说明书和商业计划书沿用官方模板章节、字数和格式。当前未完成真实楼宇接入、人工效率研究、节能干预或跨设备验证。</w:t>
      </w:r>
    </w:p>
    <w:p w14:paraId="5EEC48CD">
      <w:pPr>
        <w:widowControl/>
        <w:snapToGrid w:val="0"/>
        <w:spacing w:line="360" w:lineRule="auto"/>
        <w:rPr>
          <w:rFonts w:ascii="Times New Roman" w:hAnsi="Times New Roman" w:eastAsia="仿宋" w:cs="Times New Roman"/>
          <w:sz w:val="28"/>
          <w:szCs w:val="28"/>
        </w:rPr>
      </w:pPr>
      <w:r>
        <w:rPr>
          <w:rFonts w:hint="eastAsia" w:ascii="Times New Roman" w:hAnsi="Times New Roman" w:eastAsia="仿宋" w:cs="Times New Roman"/>
          <w:b/>
          <w:sz w:val="28"/>
          <w:szCs w:val="28"/>
        </w:rPr>
        <w:t>四、应用前景分析</w:t>
      </w:r>
      <w:r>
        <w:rPr>
          <w:rFonts w:hint="eastAsia" w:ascii="Times New Roman" w:hAnsi="Times New Roman" w:eastAsia="仿宋" w:cs="Times New Roman"/>
          <w:sz w:val="28"/>
          <w:szCs w:val="28"/>
        </w:rPr>
        <w:t>（不超过</w:t>
      </w:r>
      <w:r>
        <w:rPr>
          <w:rFonts w:ascii="Times New Roman" w:hAnsi="Times New Roman" w:eastAsia="仿宋" w:cs="Times New Roman"/>
          <w:sz w:val="28"/>
          <w:szCs w:val="28"/>
        </w:rPr>
        <w:t>500</w:t>
      </w:r>
      <w:r>
        <w:rPr>
          <w:rFonts w:hint="eastAsia" w:ascii="Times New Roman" w:hAnsi="Times New Roman" w:eastAsia="仿宋" w:cs="Times New Roman"/>
          <w:sz w:val="28"/>
          <w:szCs w:val="28"/>
        </w:rPr>
        <w:t>字）</w:t>
      </w:r>
    </w:p>
    <w:p>
      <w:pPr>
        <w:widowControl/>
        <w:snapToGrid w:val="0"/>
        <w:spacing w:line="360" w:lineRule="auto"/>
        <w:ind w:firstLine="560" w:firstLineChars="200"/>
        <w:rPr>
          <w:rFonts w:ascii="Times New Roman" w:hAnsi="Times New Roman" w:eastAsia="仿宋" w:cs="Times New Roman"/>
          <w:sz w:val="28"/>
          <w:szCs w:val="28"/>
        </w:rPr>
      </w:pPr>
      <w:r>
        <w:rPr>
          <w:rFonts w:hint="eastAsia" w:ascii="Times New Roman" w:hAnsi="Times New Roman" w:eastAsia="仿宋" w:cs="Times New Roman"/>
          <w:sz w:val="28"/>
          <w:szCs w:val="28"/>
        </w:rPr>
        <w:t xml:space="preserve">近期用于公共建筑用能告警核验的教学、研究与演示，形成可复查证据和具体的下一步动作。下一阶段优先获得授权的同类空调机组历史记录，验证单位、点位、工况覆盖与诊断错误，再开展使用者访谈及人机核验评估。是否产品化取决于接入成本、诊断可靠性、复核责任和用户价值；不根据同一仿真系统的新日期成绩承诺真实楼宇即用能力。不扩展设备类型，不承诺自动控制、维修替代或节能收益。</w:t>
      </w:r>
    </w:p>
    <w:p w14:paraId="6C767FBE">
      <w:pPr>
        <w:widowControl/>
        <w:spacing w:line="360" w:lineRule="auto"/>
        <w:ind w:left="1274" w:hanging="1273" w:hangingChars="398"/>
        <w:rPr>
          <w:rFonts w:ascii="Times New Roman" w:hAnsi="Times New Roman" w:eastAsia="仿宋" w:cs="Times New Roman"/>
          <w:sz w:val="32"/>
          <w:szCs w:val="21"/>
        </w:rPr>
      </w:pPr>
    </w:p>
    <w:p w14:paraId="37A712DE">
      <w:pPr>
        <w:widowControl/>
        <w:spacing w:line="360" w:lineRule="auto"/>
        <w:ind w:left="1274" w:hanging="1273" w:hangingChars="398"/>
        <w:rPr>
          <w:rFonts w:ascii="Times New Roman" w:hAnsi="Times New Roman" w:eastAsia="仿宋" w:cs="Times New Roman"/>
          <w:sz w:val="32"/>
          <w:szCs w:val="21"/>
        </w:rPr>
      </w:pPr>
      <w:r>
        <w:rPr>
          <w:rFonts w:ascii="Times New Roman" w:hAnsi="Times New Roman" w:eastAsia="仿宋" w:cs="Times New Roman"/>
          <w:sz w:val="32"/>
          <w:szCs w:val="21"/>
        </w:rPr>
        <w:br w:type="page"/>
      </w:r>
    </w:p>
    <w:p w14:paraId="1D34A3F4">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1" w:fontKey="{CE049972-3873-4AB5-9E06-49CFC9EB777D}"/>
  </w:font>
  <w:font w:name="Microsoft YaHei UI">
    <w:panose1 w:val="020B0503020204020204"/>
    <w:charset w:val="86"/>
    <w:family w:val="swiss"/>
    <w:pitch w:val="default"/>
    <w:sig w:usb0="80000287" w:usb1="2ACF3C50" w:usb2="00000016" w:usb3="00000000" w:csb0="0004001F" w:csb1="00000000"/>
  </w:font>
  <w:font w:name="方正黑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方正小标宋简体">
    <w:panose1 w:val="02000000000000000000"/>
    <w:charset w:val="86"/>
    <w:family w:val="auto"/>
    <w:pitch w:val="default"/>
    <w:sig w:usb0="A00002BF" w:usb1="184F6CFA" w:usb2="00000012" w:usb3="00000000" w:csb0="00040001" w:csb1="00000000"/>
    <w:embedRegular r:id="rId2" w:fontKey="{65EDA0BA-F9EB-4E89-9BB7-EE2D8C3D8048}"/>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8CFF">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FF55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FF55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65"/>
    <w:rsid w:val="00031165"/>
    <w:rsid w:val="0037319A"/>
    <w:rsid w:val="005123E3"/>
    <w:rsid w:val="005D78D3"/>
    <w:rsid w:val="005F7FC1"/>
    <w:rsid w:val="006022A5"/>
    <w:rsid w:val="006B55D6"/>
    <w:rsid w:val="00727B81"/>
    <w:rsid w:val="007E416A"/>
    <w:rsid w:val="00971413"/>
    <w:rsid w:val="00B40E5B"/>
    <w:rsid w:val="00C23A47"/>
    <w:rsid w:val="00EF0A52"/>
    <w:rsid w:val="00FA1DE6"/>
    <w:rsid w:val="035E7A16"/>
    <w:rsid w:val="06941DC6"/>
    <w:rsid w:val="19F6DA34"/>
    <w:rsid w:val="1C2838BF"/>
    <w:rsid w:val="1D485456"/>
    <w:rsid w:val="1F6B6AC0"/>
    <w:rsid w:val="1FFFE5BD"/>
    <w:rsid w:val="28CA642A"/>
    <w:rsid w:val="2BDF9E85"/>
    <w:rsid w:val="333FDE2C"/>
    <w:rsid w:val="3F67793C"/>
    <w:rsid w:val="42B0500A"/>
    <w:rsid w:val="4E7E31A0"/>
    <w:rsid w:val="56FBDE94"/>
    <w:rsid w:val="57F3806F"/>
    <w:rsid w:val="5BCF7AD3"/>
    <w:rsid w:val="5D6737D9"/>
    <w:rsid w:val="5F7104CA"/>
    <w:rsid w:val="5FF7D9B7"/>
    <w:rsid w:val="61302E91"/>
    <w:rsid w:val="65E81C09"/>
    <w:rsid w:val="68FE2FAA"/>
    <w:rsid w:val="6AEFC613"/>
    <w:rsid w:val="6C0543DC"/>
    <w:rsid w:val="6C305F8D"/>
    <w:rsid w:val="6D7B6243"/>
    <w:rsid w:val="729F83BF"/>
    <w:rsid w:val="73AFC5D2"/>
    <w:rsid w:val="74EE481B"/>
    <w:rsid w:val="7BE7BF6D"/>
    <w:rsid w:val="7DEB5D9B"/>
    <w:rsid w:val="7EBF4FF9"/>
    <w:rsid w:val="7EF214DF"/>
    <w:rsid w:val="7F3FB076"/>
    <w:rsid w:val="7FA3E9E9"/>
    <w:rsid w:val="7FFC1E6F"/>
    <w:rsid w:val="95F7AE71"/>
    <w:rsid w:val="AFAFA80C"/>
    <w:rsid w:val="BEDDDA19"/>
    <w:rsid w:val="CD9D93A6"/>
    <w:rsid w:val="D2DFB62A"/>
    <w:rsid w:val="D7F3D222"/>
    <w:rsid w:val="D7FF1812"/>
    <w:rsid w:val="DBDD2C26"/>
    <w:rsid w:val="DDC75C74"/>
    <w:rsid w:val="E7DF63B9"/>
    <w:rsid w:val="EFFFCDC6"/>
    <w:rsid w:val="EFFFCFFB"/>
    <w:rsid w:val="F4FFBB93"/>
    <w:rsid w:val="F57B7FA2"/>
    <w:rsid w:val="F9A4F9A6"/>
    <w:rsid w:val="FBA7009F"/>
    <w:rsid w:val="FBDF64D5"/>
    <w:rsid w:val="FBEF3ABD"/>
    <w:rsid w:val="FDEECDC1"/>
    <w:rsid w:val="FDF4B82A"/>
    <w:rsid w:val="FDF7CF12"/>
    <w:rsid w:val="FEFE7C39"/>
    <w:rsid w:val="FF5F2A4D"/>
    <w:rsid w:val="FFE730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ind w:firstLine="200" w:firstLineChars="200"/>
    </w:pPr>
    <w:rPr>
      <w:rFonts w:ascii="仿宋" w:hAnsi="Calibri" w:eastAsia="仿宋" w:cs="Times New Roman"/>
      <w:sz w:val="30"/>
      <w:szCs w:val="30"/>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rFonts w:cs="Times New Roman"/>
      <w:kern w:val="0"/>
      <w:sz w:val="24"/>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
    <w:name w:val="Hyperlink"/>
    <w:basedOn w:val="8"/>
    <w:qFormat/>
    <w:uiPriority w:val="0"/>
    <w:rPr>
      <w:color w:val="0000FF"/>
      <w:u w:val="single"/>
    </w:rPr>
  </w:style>
  <w:style w:type="character" w:customStyle="1" w:styleId="10">
    <w:name w:val="10"/>
    <w:basedOn w:val="8"/>
    <w:qFormat/>
    <w:uiPriority w:val="0"/>
    <w:rPr>
      <w:rFonts w:hint="default" w:ascii="Times New Roman" w:hAnsi="Times New Roman" w:cs="Times New Roman"/>
    </w:rPr>
  </w:style>
  <w:style w:type="character" w:customStyle="1" w:styleId="11">
    <w:name w:val="15"/>
    <w:basedOn w:val="8"/>
    <w:qFormat/>
    <w:uiPriority w:val="0"/>
    <w:rPr>
      <w:rFonts w:hint="default" w:ascii="Times New Roman" w:hAnsi="Times New Roman" w:cs="Times New Roman"/>
      <w:b/>
    </w:rPr>
  </w:style>
  <w:style w:type="paragraph" w:customStyle="1" w:styleId="12">
    <w:name w:val="指南标题3"/>
    <w:qFormat/>
    <w:uiPriority w:val="0"/>
    <w:pPr>
      <w:keepNext/>
      <w:keepLines/>
      <w:widowControl w:val="0"/>
      <w:spacing w:line="360" w:lineRule="auto"/>
      <w:outlineLvl w:val="2"/>
    </w:pPr>
    <w:rPr>
      <w:rFonts w:ascii="仿宋" w:hAnsi="宋体" w:eastAsia="仿宋" w:cs="Times New Roman"/>
      <w:b/>
      <w:color w:val="000000"/>
      <w:kern w:val="2"/>
      <w:sz w:val="32"/>
      <w:szCs w:val="32"/>
      <w:lang w:val="en-US" w:eastAsia="zh-CN" w:bidi="ar-SA"/>
    </w:rPr>
  </w:style>
  <w:style w:type="paragraph" w:customStyle="1" w:styleId="13">
    <w:name w:val="Table Text"/>
    <w:basedOn w:val="1"/>
    <w:hidden/>
    <w:qFormat/>
    <w:uiPriority w:val="0"/>
    <w:pPr>
      <w:spacing w:before="127" w:line="360" w:lineRule="auto"/>
      <w:jc w:val="center"/>
    </w:pPr>
    <w:rPr>
      <w:rFonts w:ascii="仿宋" w:hAnsi="仿宋" w:eastAsia="仿宋" w:cs="Times New Roman"/>
      <w:sz w:val="28"/>
      <w:szCs w:val="28"/>
    </w:rPr>
  </w:style>
  <w:style w:type="paragraph" w:customStyle="1" w:styleId="14">
    <w:name w:val="指南标题2"/>
    <w:qFormat/>
    <w:uiPriority w:val="0"/>
    <w:pPr>
      <w:keepNext/>
      <w:keepLines/>
      <w:widowControl w:val="0"/>
      <w:spacing w:line="360" w:lineRule="auto"/>
      <w:outlineLvl w:val="1"/>
    </w:pPr>
    <w:rPr>
      <w:rFonts w:ascii="黑体" w:hAnsi="Microsoft YaHei UI" w:eastAsia="黑体" w:cs="Times New Roman"/>
      <w:b/>
      <w:color w:val="000000"/>
      <w:kern w:val="2"/>
      <w:sz w:val="32"/>
      <w:szCs w:val="32"/>
      <w:lang w:val="en-US" w:eastAsia="zh-CN" w:bidi="ar-SA"/>
    </w:rPr>
  </w:style>
  <w:style w:type="character" w:customStyle="1" w:styleId="15">
    <w:name w:val="17"/>
    <w:basedOn w:val="8"/>
    <w:qFormat/>
    <w:uiPriority w:val="0"/>
    <w:rPr>
      <w:rFonts w:hint="default" w:ascii="方正黑体_GBK" w:hAnsi="方正黑体_GBK" w:eastAsia="方正黑体_GBK" w:cs="方正黑体_GBK"/>
      <w:color w:val="FF0000"/>
      <w:sz w:val="24"/>
      <w:szCs w:val="24"/>
    </w:rPr>
  </w:style>
  <w:style w:type="character" w:customStyle="1" w:styleId="16">
    <w:name w:val="18"/>
    <w:basedOn w:val="8"/>
    <w:qFormat/>
    <w:uiPriority w:val="0"/>
    <w:rPr>
      <w:rFonts w:hint="eastAsia" w:ascii="宋体" w:hAnsi="宋体" w:eastAsia="宋体" w:cs="宋体"/>
      <w:color w:val="0070C0"/>
      <w:sz w:val="22"/>
      <w:szCs w:val="22"/>
    </w:rPr>
  </w:style>
  <w:style w:type="character" w:customStyle="1" w:styleId="17">
    <w:name w:val="16"/>
    <w:basedOn w:val="8"/>
    <w:qFormat/>
    <w:uiPriority w:val="0"/>
    <w:rPr>
      <w:rFonts w:hint="default" w:ascii="Times New Roman" w:hAnsi="Times New Roman" w:cs="Times New Roman"/>
      <w:color w:val="800080"/>
      <w:u w:val="single"/>
    </w:rPr>
  </w:style>
  <w:style w:type="paragraph" w:customStyle="1" w:styleId="18">
    <w:name w:val="正文-公1"/>
    <w:basedOn w:val="1"/>
    <w:qFormat/>
    <w:uiPriority w:val="0"/>
    <w:pPr>
      <w:spacing w:line="360" w:lineRule="auto"/>
      <w:ind w:firstLine="200" w:firstLineChars="200"/>
    </w:pPr>
    <w:rPr>
      <w:rFonts w:ascii="仿宋" w:hAnsi="Calibri" w:eastAsia="仿宋" w:cs="Times New Roman"/>
      <w:sz w:val="32"/>
      <w:szCs w:val="32"/>
    </w:rPr>
  </w:style>
  <w:style w:type="paragraph" w:customStyle="1" w:styleId="19">
    <w:name w:val="指南标题1"/>
    <w:qFormat/>
    <w:uiPriority w:val="0"/>
    <w:pPr>
      <w:keepNext/>
      <w:keepLines/>
      <w:widowControl w:val="0"/>
      <w:spacing w:after="120" w:line="360" w:lineRule="auto"/>
      <w:jc w:val="center"/>
      <w:outlineLvl w:val="0"/>
    </w:pPr>
    <w:rPr>
      <w:rFonts w:ascii="方正小标宋简体" w:hAnsi="Microsoft YaHei UI" w:eastAsia="方正小标宋简体" w:cs="Times New Roman"/>
      <w:b/>
      <w:color w:val="000000"/>
      <w:kern w:val="44"/>
      <w:sz w:val="36"/>
      <w:szCs w:val="36"/>
      <w:lang w:val="en-US" w:eastAsia="zh-CN" w:bidi="ar-SA"/>
    </w:rPr>
  </w:style>
  <w:style w:type="paragraph" w:customStyle="1" w:styleId="20">
    <w:name w:val="指南标题"/>
    <w:basedOn w:val="1"/>
    <w:qFormat/>
    <w:uiPriority w:val="0"/>
    <w:pPr>
      <w:spacing w:line="360" w:lineRule="auto"/>
      <w:ind w:left="1433" w:hanging="1433" w:hangingChars="398"/>
      <w:jc w:val="center"/>
    </w:pPr>
    <w:rPr>
      <w:rFonts w:ascii="方正小标宋简体" w:hAnsi="微软雅黑" w:eastAsia="方正小标宋简体" w:cs="Times New Roman"/>
      <w:sz w:val="36"/>
      <w:szCs w:val="36"/>
    </w:rPr>
  </w:style>
  <w:style w:type="table" w:customStyle="1" w:styleId="21">
    <w:name w:val="Table Normal1"/>
    <w:basedOn w:val="6"/>
    <w:qFormat/>
    <w:uiPriority w:val="0"/>
    <w:tblPr>
      <w:tblCellMar>
        <w:left w:w="0" w:type="dxa"/>
        <w:right w:w="0" w:type="dxa"/>
      </w:tblCellMar>
    </w:tblPr>
  </w:style>
  <w:style w:type="character" w:customStyle="1" w:styleId="22">
    <w:name w:val="font61"/>
    <w:basedOn w:val="8"/>
    <w:autoRedefine/>
    <w:qFormat/>
    <w:uiPriority w:val="0"/>
    <w:rPr>
      <w:rFonts w:hint="default" w:ascii="方正黑体_GBK" w:hAnsi="方正黑体_GBK" w:eastAsia="方正黑体_GBK" w:cs="方正黑体_GBK"/>
      <w:color w:val="FF0000"/>
      <w:sz w:val="24"/>
      <w:szCs w:val="24"/>
      <w:u w:val="none"/>
    </w:rPr>
  </w:style>
  <w:style w:type="character" w:customStyle="1" w:styleId="23">
    <w:name w:val="font31"/>
    <w:basedOn w:val="8"/>
    <w:autoRedefine/>
    <w:qFormat/>
    <w:uiPriority w:val="0"/>
    <w:rPr>
      <w:rFonts w:hint="eastAsia" w:ascii="宋体" w:hAnsi="宋体" w:eastAsia="宋体" w:cs="宋体"/>
      <w:color w:val="0070C0"/>
      <w:sz w:val="22"/>
      <w:szCs w:val="22"/>
      <w:u w:val="none"/>
    </w:rPr>
  </w:style>
  <w:style w:type="paragraph" w:customStyle="1" w:styleId="24">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0</Pages>
  <Words>0</Words>
  <Characters>0</Characters>
  <Lines>0</Lines>
  <Paragraphs>0</Paragraphs>
  <TotalTime>0</TotalTime>
  <ScaleCrop>false</ScaleCrop>
  <LinksUpToDate>false</LinksUpToDate>
  <CharactersWithSpaces>0</CharactersWithSpaces>
  <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2025-06-04T12:42:00Z</dcterms:created>
  <dc:creator/>
  <cp:lastModifiedBy/>
  <dcterms:modified xsi:type="dcterms:W3CDTF">2026-06-26T10:42:11Z</dcterms:modified>
  <cp:revision>2</cp:revision>
</cp:coreProperties>
</file>

<file path=docProps/custom.xml><?xml version="1.0" encoding="utf-8"?>
<Properties xmlns="http://schemas.openxmlformats.org/officeDocument/2006/custom-properties" xmlns:vt="http://schemas.openxmlformats.org/officeDocument/2006/docPropsVTypes"/>
</file>