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233D7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3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609A88A8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0" w:name="_Toc47932334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十二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届中国研究生智慧城市技术与创意设计大赛</w:t>
      </w:r>
    </w:p>
    <w:p w14:paraId="46070F9E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1" w:name="_Toc108088509"/>
      <w:bookmarkStart w:id="2" w:name="_Toc7210848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创意设计赛项目商业计划书</w:t>
      </w:r>
      <w:bookmarkEnd w:id="1"/>
      <w:bookmarkEnd w:id="2"/>
    </w:p>
    <w:p w14:paraId="02836DAA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</w:rPr>
        <w:t xml:space="preserve">（可编辑底稿 待视觉复检 非正式提交版）</w:t>
      </w:r>
      <w:bookmarkEnd w:id="0"/>
    </w:p>
    <w:p w14:paraId="268B5F66">
      <w:pPr>
        <w:widowControl/>
        <w:spacing w:line="360" w:lineRule="auto"/>
        <w:ind w:firstLine="602" w:firstLineChars="200"/>
        <w:jc w:val="center"/>
        <w:rPr>
          <w:rFonts w:ascii="Times New Roman" w:hAnsi="Times New Roman" w:eastAsia="仿宋" w:cs="Times New Roman"/>
          <w:b/>
          <w:sz w:val="30"/>
          <w:szCs w:val="30"/>
        </w:rPr>
      </w:pPr>
      <w:r>
        <w:rPr>
          <w:rFonts w:ascii="Times New Roman" w:hAnsi="Times New Roman" w:eastAsia="仿宋" w:cs="Times New Roman"/>
          <w:b/>
          <w:sz w:val="30"/>
          <w:szCs w:val="30"/>
        </w:rPr>
        <w:t xml:space="preserve">能智核 公共建筑用能异常核验工作台</w:t>
      </w:r>
    </w:p>
    <w:p w14:paraId="36E44C2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一、项目方案概述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能智核为公共建筑用能告警提供可操作核验工作台，回答先查什么、证据支持什么及还缺什么。产品区分记录质量与设备状态，采用本地程序完成计算，保留未决与下一步动作。当前交付为公开数据原型、三个演示与同一仿真系统的时间留出验证；真实建筑数据仅用于用能回放。尚无客户试点、合作、营收或实测节能业绩。</w:t>
      </w:r>
    </w:p>
    <w:p w14:paraId="333CAF9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二、项目团队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按匿名职责组织工作：产品与场景负责需求、核验流程和材料；数据与诊断负责数据契约、规则与评价；工程负责工作台、部署和回归。职责可由同一成员兼任，不代表已确认人数或专业经历。培养单位、导师和其他可识别身份不在本稿出现；模板姓名、电话栏保留待按官方匿名口径填写。</w:t>
      </w:r>
    </w:p>
    <w:p w14:paraId="011AC5C9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三、项目产品（服务）化（</w:t>
      </w:r>
      <w:r>
        <w:rPr>
          <w:rFonts w:hint="eastAsia" w:ascii="Times New Roman" w:hAnsi="Times New Roman" w:eastAsia="仿宋" w:cs="Times New Roman"/>
          <w:sz w:val="28"/>
          <w:szCs w:val="28"/>
        </w:rPr>
        <w:t>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08BA371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项目产品（服务）特性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一次核验从“告警之后，先查什么”开始。使用者选择案例，查看记录与当前工况，按预算取得证据，再依据支持和反驳信息检查结论。遇到未决，系统指明需要补哪个点位或哪个运行时段。修复重复数据后重新计算，设备疑点不会因记录修正而自动消失。核验结果与来源可导出，便于复核和演示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采用本地软件交付，数值由程序计算。证据链区分BDG2真实建筑回放、LBNL暖通仿真以及人为扰动；不需要付费API。当前设备验证限定单风道空调机组。数据接入仍需确认字段、单位、采样和实际运行条件，不承诺任意建筑直接使用。</w:t>
      </w:r>
    </w:p>
    <w:p w14:paraId="4134301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产品（服务）化实施计划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本阶段交付可运行原型、三个演示、诊断修复与新的时间留出对照。下一阶段先访谈运维使用者与预算负责人，确认最需要复核的告警、可获得点位、结果责任和付费意愿，再在授权条件下进行同类设备小规模历史记录验证。目前未将需求访谈或授权试点写为已经完成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产品化验收应同时检查字段接入、核验质量、未决处置、导出可追溯性和维护工时。新诊断器在本次时间留出中提高结论覆盖，且错误率满足预先定义的相近范围；可表述为工况与证据窗口工程修复的收益。未证实自适应规则相对固定流程的查询收益；不追加新方法。本次正常与盘管泄漏召回均为0，新增正确结论全部来自风阀候选，已验证效果收缩为适用窗口中的风阀疑点核验，不能宣称通用三分类成功。</w:t>
      </w:r>
    </w:p>
    <w:p w14:paraId="309856B1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四、项目产品（服务）市场与竞争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1236582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市场概述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候选使用者为校园后勤、公共办公楼运维和能源服务人员，潜在付费方为业主、物业或服务承包方，需通过访谈确认。场景聚焦已有历史数据、仍需人工核实告警的组织。当前未完成市场规模、竞品价格、购买周期与支付意愿调查，不据一般建筑数量推算销售规模。</w:t>
      </w:r>
    </w:p>
    <w:p w14:paraId="4060CB3C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竞争优势分析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对照的工作方式包括人工表格复核、固定规则告警与自适应规则核验。能智核的展示特色是同时呈现数据问题、设备证据和下一步动作，并将修复操作直接连接到重新计算。技术对照限于本项目公开数据实验，未完成商业产品横评。工程修复不等于行业领先，软件查询节省也不等于人工或现场成本下降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冻结后评价覆盖同一仿真系统的14个日期块，日期为2018-06-04至2018-06-10、2018-07-09至2018-07-15；56个基础日工况各有原始与重复记录版本，共112条记录。相同完整允许证据下，旧诊断器正确6、错误0、未决106；新诊断器正确24、错误0、未决88。总体正确率从5.36%变为21.43%，结论覆盖率从5.36%变为21.43%，已判案例错误率从0.00%变为0.00%。正常／风阀卡滞／盘管泄漏召回分别为旧0.00%／10.71%／0.00%、新0.00%／42.86%／0.00%。新诊断器下，预算4的固定与自适应规则总体正确率为21.43%／21.43%，覆盖率21.43%／21.43%，已判错误率0.00%／0.00%，各类召回为固定0.00%／42.86%／0.00%、自适应0.00%／42.86%／0.00%；平均查询3.357／3.357次，端到端耗时15.805／15.820毫秒。旧／新完整信息端到端耗时为1.902／18.450毫秒。这些为本机单轮软件测量；未决未从分母剔除，不将配对版本当作独立建筑。本次正常与盘管泄漏召回均为0，新增正确结论全部来自风阀候选，已验证效果收缩为适用窗口中的风阀疑点核验，不能宣称通用三分类成功。</w:t>
      </w:r>
    </w:p>
    <w:p w14:paraId="0E4F397E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3.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项目实施风险及应对措施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接入风险通过字段、时间、单位和数据质量检查处理。诊断适用性通过启停、控制工况、有效窗口与证据充分性判断；缺证保持未决。仿真到实测的差异需用授权现场记录验证，不能通过删去未决或把未定位异常计为正确掩盖。真实使用中的复核责任、现场作业与维修流程仍需和责任主体确认。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源数据重复严重度、单位冲突及注入信息问题随数据契约公开。第三方许可与必要署名随软件分发保留；匿名要求针对参赛团队身份，不据此删除数据版权归属。缺乏真实客户、人工收益与节能证据是现阶段商业判断的关键限制。</w:t>
      </w:r>
    </w:p>
    <w:p w14:paraId="1A4327CD">
      <w:pPr>
        <w:widowControl/>
        <w:spacing w:line="360" w:lineRule="auto"/>
        <w:rPr>
          <w:rFonts w:ascii="Times New Roman" w:hAnsi="Times New Roman" w:eastAsia="仿宋" w:cs="Times New Roman"/>
          <w:b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五、商业模式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2000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 w14:paraId="600EA843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1.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项目产品（服务）的开发、生产（服务）策略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拟按本地软件、授权数据接入和维护分析服务组织交付。标准软件提供案例导入、证据查询、核验卡与导出；项目服务负责点位映射、工况确认与使用培训。先记录各环节实际工时、运行资源和维护负担，判断哪些能够标准化，不通过增加Agent数量包装产品能力。</w:t>
      </w:r>
    </w:p>
    <w:p w14:paraId="2BA4261A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2.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项目产品（服务）的营销策略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以可复现公开演示说明能力、条件和未决处置，作为需求访谈工具。后续试用应约定授权范围、评价任务、复核责任和退出条件。演示数据不作为客户案例，未落实意向不描述为合作，暂不制定无依据的客户增长或区域覆盖数字。</w:t>
      </w:r>
    </w:p>
    <w:p w14:paraId="13A23AEF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3.</w:t>
      </w:r>
      <w:r>
        <w:rPr>
          <w:rFonts w:hint="eastAsia" w:ascii="Times New Roman" w:hAnsi="Times New Roman" w:eastAsia="仿宋" w:cs="Times New Roman"/>
          <w:sz w:val="28"/>
          <w:szCs w:val="28"/>
        </w:rPr>
        <w:t>项目产品（服务）获利方式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收入假设包括一次性部署和数据接入服务，以及持续维护分析服务。按楼宇、表计或服务范围计费的方式需调查，价格和毛利需结合真实接入工时、支持成本、软硬件资源与支付意愿测算。免费本地模型不等于软件维护与现场服务零成本。目前不填写无依据报价。</w:t>
      </w:r>
    </w:p>
    <w:p w14:paraId="3074D8A5"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4.</w:t>
      </w:r>
      <w:r>
        <w:rPr>
          <w:rFonts w:hint="eastAsia" w:ascii="Times New Roman" w:hAnsi="Times New Roman" w:eastAsia="仿宋" w:cs="Times New Roman"/>
          <w:sz w:val="28"/>
          <w:szCs w:val="28"/>
        </w:rPr>
        <w:t>（若创业）企业发展计划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尚无企业、融资或经营业绩可报告。只有独立需求验证、合法授权试用及可承受的履约责任支持产品价值时，才决定组织形式和知识产权安排。近期资源集中于同类设备的可用性和核验体验，不扩大设备范围或城市级平台规模。</w:t>
      </w:r>
    </w:p>
    <w:p w14:paraId="7111C5F6">
      <w:pPr>
        <w:widowControl/>
        <w:spacing w:line="360" w:lineRule="auto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sz w:val="28"/>
          <w:szCs w:val="28"/>
        </w:rPr>
        <w:t>六、预期经济效益分析</w:t>
      </w:r>
      <w:r>
        <w:rPr>
          <w:rFonts w:hint="eastAsia" w:ascii="Times New Roman" w:hAnsi="Times New Roman" w:eastAsia="仿宋" w:cs="Times New Roman"/>
          <w:sz w:val="28"/>
          <w:szCs w:val="28"/>
        </w:rPr>
        <w:t>（不超过</w:t>
      </w:r>
      <w:r>
        <w:rPr>
          <w:rFonts w:ascii="Times New Roman" w:hAnsi="Times New Roman" w:eastAsia="仿宋" w:cs="Times New Roman"/>
          <w:sz w:val="28"/>
          <w:szCs w:val="28"/>
        </w:rPr>
        <w:t>500</w:t>
      </w:r>
      <w:r>
        <w:rPr>
          <w:rFonts w:hint="eastAsia" w:ascii="Times New Roman" w:hAnsi="Times New Roman" w:eastAsia="仿宋" w:cs="Times New Roman"/>
          <w:sz w:val="28"/>
          <w:szCs w:val="28"/>
        </w:rPr>
        <w:t>字）</w:t>
      </w:r>
    </w:p>
    <w:p>
      <w:pPr>
        <w:widowControl/>
        <w:snapToGrid w:val="0"/>
        <w:spacing w:line="360" w:lineRule="auto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当前无实际销售、客户试点、人工工时研究或节能干预，不填营收、利润、投资回报率与节能收益。后续收入按部署接入和维护分析服务计算，成本按接入工时、运行资源、维护支持与必要授权计算；每项采用实际记录或明确假设。人工效率需在相同任务条件下测量，节能量需在明确干预后通过适当基准验证。离线数据查询次数和软件耗时仅表示程序核查成本，不能换算为现场节约金额。</w:t>
      </w:r>
    </w:p>
    <w:p w14:paraId="69C78C76">
      <w:bookmarkStart w:id="3" w:name="_GoBack"/>
      <w:bookmarkEnd w:id="3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8D0356CB-A0C7-4E57-BC15-CDE45039104F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75B963AF-E269-41D7-97FE-2847A96EEA20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TotalTime>0</TotalTime>
  <ScaleCrop>false</ScaleCrop>
  <LinksUpToDate>false</LinksUpToDate>
  <CharactersWithSpaces>0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