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0CB2E">
      <w:pPr>
        <w:keepNext w:val="0"/>
        <w:keepLines w:val="0"/>
        <w:widowControl/>
        <w:spacing w:line="293" w:lineRule="auto" w:before="0" w:after="80"/>
        <w:ind w:left="1114" w:hangingChars="398"/>
        <w:jc w:val="left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b w:val="0"/>
          <w:color w:val="000000"/>
          <w:sz w:val="21"/>
          <w:szCs w:val="28"/>
        </w:rPr>
        <w:t>附件</w:t>
      </w:r>
      <w:r>
        <w:rPr>
          <w:rFonts w:ascii="SimSun" w:hAnsi="SimSun" w:eastAsia="SimSun" w:cs="SimSun"/>
          <w:b w:val="0"/>
          <w:color w:val="000000"/>
          <w:sz w:val="21"/>
          <w:szCs w:val="28"/>
        </w:rPr>
        <w:t>1</w:t>
      </w:r>
      <w:r>
        <w:rPr>
          <w:rFonts w:ascii="SimSun" w:hAnsi="SimSun" w:eastAsia="SimSun" w:cs="SimSun"/>
          <w:b w:val="0"/>
          <w:color w:val="000000"/>
          <w:sz w:val="21"/>
          <w:szCs w:val="28"/>
        </w:rPr>
        <w:t>：</w:t>
      </w:r>
    </w:p>
    <w:p w14:paraId="4C609DEA">
      <w:pPr>
        <w:keepNext/>
        <w:keepLines/>
        <w:widowControl/>
        <w:spacing w:line="293" w:lineRule="auto" w:before="100" w:after="120"/>
        <w:jc w:val="center"/>
        <w:rPr>
          <w:rFonts w:ascii="SimSun" w:hAnsi="SimSun" w:eastAsia="SimSun" w:cs="SimSun"/>
          <w:sz w:val="36"/>
          <w:szCs w:val="36"/>
        </w:rPr>
      </w:pPr>
      <w:r>
        <w:rPr>
          <w:rFonts w:ascii="SimHei" w:hAnsi="SimHei" w:eastAsia="SimHei" w:cs="SimHei"/>
          <w:b/>
          <w:color w:val="000000"/>
          <w:sz w:val="28"/>
          <w:szCs w:val="36"/>
        </w:rPr>
        <w:t>第</w:t>
      </w:r>
      <w:r>
        <w:rPr>
          <w:rFonts w:ascii="SimHei" w:hAnsi="SimHei" w:eastAsia="SimHei" w:cs="SimHei"/>
          <w:b/>
          <w:color w:val="000000"/>
          <w:sz w:val="28"/>
          <w:szCs w:val="36"/>
          <w:lang w:eastAsia="zh-Hans"/>
        </w:rPr>
        <w:t>十</w:t>
      </w:r>
      <w:r>
        <w:rPr>
          <w:rFonts w:ascii="SimHei" w:hAnsi="SimHei" w:eastAsia="SimHei" w:cs="SimHei"/>
          <w:b/>
          <w:color w:val="000000"/>
          <w:sz w:val="28"/>
          <w:szCs w:val="36"/>
        </w:rPr>
        <w:t>二届中国研究生智慧城市技术与创意设计大赛</w:t>
      </w:r>
      <w:bookmarkStart w:id="0" w:name="_Toc479323112"/>
      <w:bookmarkStart w:id="1" w:name="_Toc479323333"/>
    </w:p>
    <w:p w14:paraId="23A7038F">
      <w:pPr>
        <w:keepNext/>
        <w:keepLines/>
        <w:widowControl/>
        <w:spacing w:line="293" w:lineRule="auto" w:before="100" w:after="120"/>
        <w:ind w:left="210" w:leftChars="100" w:right="210" w:rightChars="100"/>
        <w:jc w:val="center"/>
        <w:rPr>
          <w:rFonts w:ascii="SimSun" w:hAnsi="SimSun" w:eastAsia="SimSun" w:cs="SimSun"/>
          <w:sz w:val="36"/>
          <w:szCs w:val="36"/>
        </w:rPr>
      </w:pPr>
      <w:bookmarkStart w:id="2" w:name="_Toc108088507"/>
      <w:bookmarkStart w:id="3" w:name="_Toc7210846"/>
      <w:r>
        <w:rPr>
          <w:rFonts w:ascii="SimHei" w:hAnsi="SimHei" w:eastAsia="SimHei" w:cs="SimHei"/>
          <w:b/>
          <w:color w:val="000000"/>
          <w:sz w:val="28"/>
          <w:szCs w:val="36"/>
        </w:rPr>
        <w:t>创意设计赛</w:t>
      </w:r>
      <w:bookmarkEnd w:id="0"/>
      <w:bookmarkEnd w:id="1"/>
      <w:r>
        <w:rPr>
          <w:rFonts w:ascii="SimHei" w:hAnsi="SimHei" w:eastAsia="SimHei" w:cs="SimHei"/>
          <w:b/>
          <w:color w:val="000000"/>
          <w:sz w:val="28"/>
          <w:szCs w:val="36"/>
        </w:rPr>
        <w:t>项目简表</w:t>
      </w:r>
      <w:bookmarkEnd w:id="2"/>
      <w:bookmarkEnd w:id="3"/>
    </w:p>
    <w:p w14:paraId="5CA8D785">
      <w:pPr>
        <w:keepNext w:val="0"/>
        <w:keepLines w:val="0"/>
        <w:widowControl/>
        <w:spacing w:line="293" w:lineRule="auto" w:before="0" w:after="80"/>
        <w:jc w:val="center"/>
        <w:rPr>
          <w:rFonts w:ascii="SimSun" w:hAnsi="SimSun" w:eastAsia="SimSun" w:cs="SimSun"/>
          <w:sz w:val="28"/>
          <w:szCs w:val="36"/>
        </w:rPr>
      </w:pPr>
      <w:r>
        <w:rPr>
          <w:rFonts w:ascii="SimSun" w:hAnsi="SimSun" w:eastAsia="SimSun" w:cs="SimSun"/>
          <w:b w:val="0"/>
          <w:color w:val="000000"/>
          <w:sz w:val="21"/>
        </w:rPr>
        <w:t>能智核——公共建筑用能异常核验工作台</w:t>
      </w:r>
    </w:p>
    <w:tbl>
      <w:tblPr>
        <w:tblStyle w:val="7"/>
        <w:tblW w:w="104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2" w:type="dxa"/>
          <w:left w:w="108" w:type="dxa"/>
          <w:bottom w:w="142" w:type="dxa"/>
          <w:right w:w="108" w:type="dxa"/>
        </w:tblCellMar>
      </w:tblPr>
      <w:tblGrid>
        <w:gridCol w:w="1792"/>
        <w:gridCol w:w="1464"/>
        <w:gridCol w:w="1570"/>
        <w:gridCol w:w="1842"/>
        <w:gridCol w:w="3822"/>
      </w:tblGrid>
      <w:tr w14:paraId="7B788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shd w:val="clear" w:color="auto" w:fill="E7E6E6"/>
            <w:vAlign w:val="center"/>
          </w:tcPr>
          <w:p w14:paraId="7CAF9BDA">
            <w:pPr>
              <w:keepNext w:val="0"/>
              <w:keepLines w:val="0"/>
              <w:widowControl/>
              <w:spacing w:before="0" w:after="80" w:line="293" w:lineRule="auto"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作品名称</w:t>
            </w:r>
          </w:p>
        </w:tc>
        <w:tc>
          <w:tcPr>
            <w:tcW w:w="8698" w:type="dxa"/>
            <w:gridSpan w:val="4"/>
            <w:vAlign w:val="center"/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能智核——公共建筑用能异常核验工作台</w:t>
            </w:r>
          </w:p>
        </w:tc>
      </w:tr>
      <w:tr w14:paraId="67477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shd w:val="clear" w:color="auto" w:fill="E7E6E6"/>
            <w:vAlign w:val="center"/>
          </w:tcPr>
          <w:p w14:paraId="605C8C88">
            <w:pPr>
              <w:keepNext w:val="0"/>
              <w:keepLines w:val="0"/>
              <w:widowControl/>
              <w:spacing w:before="0" w:after="80" w:line="293" w:lineRule="auto"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团队名称</w:t>
            </w:r>
          </w:p>
        </w:tc>
        <w:tc>
          <w:tcPr>
            <w:tcW w:w="8698" w:type="dxa"/>
            <w:gridSpan w:val="4"/>
            <w:vAlign w:val="center"/>
          </w:tcPr>
          <w:p w14:paraId="368C5AB2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</w:p>
        </w:tc>
      </w:tr>
      <w:tr w14:paraId="2DE26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shd w:val="clear" w:color="auto" w:fill="E7E6E6"/>
            <w:vAlign w:val="center"/>
          </w:tcPr>
          <w:p w14:paraId="5A5714F5">
            <w:pPr>
              <w:keepNext w:val="0"/>
              <w:keepLines w:val="0"/>
              <w:widowControl/>
              <w:spacing w:before="0" w:after="80" w:line="293" w:lineRule="auto"/>
              <w:jc w:val="center"/>
              <w:rPr>
                <w:rFonts w:ascii="SimSun" w:hAnsi="SimSun" w:eastAsia="SimSun" w:cs="SimSun"/>
                <w:kern w:val="0"/>
                <w:sz w:val="24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参赛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  <w:lang w:eastAsia="zh-Hans"/>
              </w:rPr>
              <w:t>赛道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/</w:t>
            </w:r>
          </w:p>
          <w:p w14:paraId="781AD66F">
            <w:pPr>
              <w:keepNext w:val="0"/>
              <w:keepLines w:val="0"/>
              <w:widowControl/>
              <w:spacing w:before="0" w:after="80" w:line="293" w:lineRule="auto"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赛题</w:t>
            </w:r>
          </w:p>
        </w:tc>
        <w:tc>
          <w:tcPr>
            <w:tcW w:w="8698" w:type="dxa"/>
            <w:gridSpan w:val="4"/>
            <w:vAlign w:val="center"/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1—11为定向赛道：</w:t>
              <w:br/>
              <w:t>1. 低空经济与空天科 □    2. 智慧交通与数字孪生 □</w:t>
              <w:br/>
              <w:t>3. 智能建造与城市更新 □    4. 未来城市与太空人居 □</w:t>
              <w:br/>
              <w:t>5. 智慧文旅与乡村振兴 □    6. 智慧能源与环境 ☑</w:t>
              <w:br/>
              <w:t>7. 韧性城市与智慧应急 □    8. AI与具身智能 □</w:t>
              <w:br/>
              <w:t>9. 智慧生活与大健康 □    10. 城市运维与安全 □</w:t>
              <w:br/>
              <w:t>11. 智能材料与绿色建造 □    12. 自由赛道 □</w:t>
              <w:br/>
              <w:t>13. 企业揭榜赛道 □    14. 地方特色赛道 □</w:t>
            </w:r>
          </w:p>
        </w:tc>
      </w:tr>
      <w:tr w14:paraId="29D2A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shd w:val="clear" w:color="auto" w:fill="E7E6E6"/>
            <w:vAlign w:val="center"/>
          </w:tcPr>
          <w:p w14:paraId="1D0A8338">
            <w:pPr>
              <w:keepNext w:val="0"/>
              <w:keepLines w:val="0"/>
              <w:widowControl/>
              <w:spacing w:before="0" w:after="80" w:line="293" w:lineRule="auto"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队长姓名</w:t>
            </w:r>
          </w:p>
        </w:tc>
        <w:tc>
          <w:tcPr>
            <w:tcW w:w="3034" w:type="dxa"/>
            <w:gridSpan w:val="2"/>
            <w:vAlign w:val="center"/>
          </w:tcPr>
          <w:p w14:paraId="7D0B2BB1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kern w:val="0"/>
                <w:sz w:val="24"/>
              </w:rPr>
            </w:pPr>
          </w:p>
        </w:tc>
        <w:tc>
          <w:tcPr>
            <w:tcW w:w="1842" w:type="dxa"/>
            <w:shd w:val="clear" w:color="auto" w:fill="E7E6E6"/>
            <w:vAlign w:val="center"/>
          </w:tcPr>
          <w:p w14:paraId="4622BAB2">
            <w:pPr>
              <w:keepNext w:val="0"/>
              <w:keepLines w:val="0"/>
              <w:widowControl/>
              <w:spacing w:before="0" w:after="80" w:line="293" w:lineRule="auto"/>
              <w:jc w:val="center"/>
              <w:rPr>
                <w:rFonts w:ascii="SimSun" w:hAnsi="SimSun" w:eastAsia="SimSun" w:cs="SimSun"/>
                <w:kern w:val="0"/>
                <w:sz w:val="24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队长联系电话</w:t>
            </w:r>
          </w:p>
        </w:tc>
        <w:tc>
          <w:tcPr>
            <w:tcW w:w="3822" w:type="dxa"/>
            <w:vAlign w:val="center"/>
          </w:tcPr>
          <w:p w14:paraId="68AE79EB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</w:p>
        </w:tc>
      </w:tr>
      <w:tr w14:paraId="7741A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shd w:val="clear" w:color="auto" w:fill="E7E6E6"/>
            <w:vAlign w:val="center"/>
          </w:tcPr>
          <w:p w14:paraId="7DA46AC5">
            <w:pPr>
              <w:keepNext w:val="0"/>
              <w:keepLines w:val="0"/>
              <w:widowControl/>
              <w:spacing w:before="0" w:after="80" w:line="293" w:lineRule="auto"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团队成员</w:t>
            </w:r>
          </w:p>
        </w:tc>
        <w:tc>
          <w:tcPr>
            <w:tcW w:w="8698" w:type="dxa"/>
            <w:gridSpan w:val="4"/>
            <w:vAlign w:val="center"/>
          </w:tcPr>
          <w:p w14:paraId="444BB825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</w:p>
        </w:tc>
      </w:tr>
      <w:tr w14:paraId="372E1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restart"/>
            <w:shd w:val="clear" w:color="auto" w:fill="E7E6E6"/>
            <w:vAlign w:val="center"/>
          </w:tcPr>
          <w:p w14:paraId="2838540A">
            <w:pPr>
              <w:keepNext w:val="0"/>
              <w:keepLines w:val="0"/>
              <w:widowControl/>
              <w:autoSpaceDN w:val="0"/>
              <w:spacing w:before="0" w:after="80" w:line="293" w:lineRule="auto"/>
              <w:jc w:val="center"/>
              <w:rPr>
                <w:rFonts w:ascii="SimSun" w:hAnsi="SimSun" w:eastAsia="SimSun" w:cs="SimSun"/>
                <w:kern w:val="0"/>
                <w:sz w:val="24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报告内容</w:t>
            </w:r>
          </w:p>
          <w:p w14:paraId="252E61EB">
            <w:pPr>
              <w:keepNext w:val="0"/>
              <w:keepLines w:val="0"/>
              <w:widowControl/>
              <w:spacing w:before="0" w:after="80" w:line="293" w:lineRule="auto"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摘要</w:t>
            </w:r>
          </w:p>
        </w:tc>
        <w:tc>
          <w:tcPr>
            <w:tcW w:w="8698" w:type="dxa"/>
            <w:gridSpan w:val="4"/>
            <w:shd w:val="clear" w:color="auto" w:fill="E7E6E6"/>
            <w:vAlign w:val="center"/>
          </w:tcPr>
          <w:p w14:paraId="4BF3C018">
            <w:pPr>
              <w:keepNext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（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1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）项目背景</w:t>
            </w:r>
          </w:p>
        </w:tc>
      </w:tr>
      <w:tr w14:paraId="3639B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1DDCBF85">
            <w:pPr>
              <w:widowControl/>
              <w:autoSpaceDN w:val="0"/>
              <w:jc w:val="center"/>
              <w:rPr>
                <w:rFonts w:ascii="SimSun" w:hAnsi="SimSun" w:eastAsia="SimSun" w:cs="SimSun"/>
                <w:kern w:val="0"/>
                <w:sz w:val="24"/>
              </w:rPr>
            </w:pPr>
          </w:p>
        </w:tc>
        <w:tc>
          <w:tcPr>
            <w:tcW w:w="8698" w:type="dxa"/>
            <w:gridSpan w:val="4"/>
            <w:vAlign w:val="center"/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公共建筑用能告警发生后，管理人员仍需核对数据是否可信、设备是否处于可检验工况，以及下一步应补哪个点位或时段。能智核面向这一核查环节，提供数据质量与设备证据分开呈现的工作台。当前以公开单风道空调机组仿真数据实现核验，以BDG2独立展示真实用能回放，服务于有边界、可复查的异常核查。</w:t>
            </w:r>
          </w:p>
        </w:tc>
      </w:tr>
      <w:tr w14:paraId="5049E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71878284">
            <w:pPr>
              <w:widowControl/>
              <w:autoSpaceDN w:val="0"/>
              <w:jc w:val="center"/>
              <w:rPr>
                <w:rFonts w:ascii="SimSun" w:hAnsi="SimSun" w:eastAsia="SimSun" w:cs="SimSun"/>
                <w:kern w:val="0"/>
                <w:sz w:val="24"/>
              </w:rPr>
            </w:pPr>
          </w:p>
        </w:tc>
        <w:tc>
          <w:tcPr>
            <w:tcW w:w="8698" w:type="dxa"/>
            <w:gridSpan w:val="4"/>
            <w:shd w:val="clear" w:color="auto" w:fill="E7E6E6"/>
            <w:vAlign w:val="center"/>
          </w:tcPr>
          <w:p w14:paraId="2A572004">
            <w:pPr>
              <w:keepNext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（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2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）立项思路</w:t>
            </w:r>
          </w:p>
        </w:tc>
      </w:tr>
      <w:tr w14:paraId="70FF8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6C61D152">
            <w:pPr>
              <w:widowControl/>
              <w:autoSpaceDN w:val="0"/>
              <w:jc w:val="center"/>
              <w:rPr>
                <w:rFonts w:ascii="SimSun" w:hAnsi="SimSun" w:eastAsia="SimSun" w:cs="SimSun"/>
                <w:kern w:val="0"/>
                <w:sz w:val="24"/>
              </w:rPr>
            </w:pPr>
          </w:p>
        </w:tc>
        <w:tc>
          <w:tcPr>
            <w:tcW w:w="8698" w:type="dxa"/>
            <w:gridSpan w:val="4"/>
            <w:vAlign w:val="center"/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把“告警之后先查什么”转化为可操作流程：先校验单位和真实时间间隔，再检查每项故障假设的适用条件；有支持证据时给出候选，缺点位、缺工况或证据冲突时给出具体补证要求。已有本地软件、三个案例、公开原始CSV导入和可阅读核查卡。特色在证据约束的产品流程，不主张已证明新的诊断算法。</w:t>
            </w:r>
          </w:p>
        </w:tc>
      </w:tr>
      <w:tr w14:paraId="2391A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6E2ED5F1">
            <w:pPr>
              <w:widowControl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</w:p>
        </w:tc>
        <w:tc>
          <w:tcPr>
            <w:tcW w:w="8698" w:type="dxa"/>
            <w:gridSpan w:val="4"/>
            <w:shd w:val="clear" w:color="auto" w:fill="E7E6E6"/>
            <w:vAlign w:val="center"/>
          </w:tcPr>
          <w:p w14:paraId="75BBE221">
            <w:pPr>
              <w:keepNext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（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3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）解决方案</w:t>
            </w:r>
          </w:p>
        </w:tc>
      </w:tr>
      <w:tr w14:paraId="2EAFA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04440148">
            <w:pPr>
              <w:widowControl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</w:p>
        </w:tc>
        <w:tc>
          <w:tcPr>
            <w:tcW w:w="8698" w:type="dxa"/>
            <w:gridSpan w:val="4"/>
            <w:vAlign w:val="center"/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用户选择LBNL单风道机组公开仿真日片段，映射时间列、点位、单位及采样间隔。程序显式转换温度与指令单位，将完整1分钟桶聚合为5分钟；缺失值保留，间隔不符则拒绝。服务、诊断证据、质量卡和导出复用同一质量对象。通过质量校验后，程序按启停、稳定运行、温差和关阀持续时长生成证据窗口，分别核验风路、盘管和运行工况。界面呈现支持与限制证据、分支状态及补证条件；修正数据或修改证据后真实重算。导出的HTML核查卡可离线阅读和打印，并记录源数据哈希、映射及运行编号。设备范围限于当前仿真配置，真实建筑回放不参与故障定位。</w:t>
            </w:r>
          </w:p>
        </w:tc>
      </w:tr>
      <w:tr w14:paraId="5C229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0E7A6082">
            <w:pPr>
              <w:widowControl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</w:p>
        </w:tc>
        <w:tc>
          <w:tcPr>
            <w:tcW w:w="8698" w:type="dxa"/>
            <w:gridSpan w:val="4"/>
            <w:shd w:val="clear" w:color="auto" w:fill="E7E6E6"/>
            <w:vAlign w:val="center"/>
          </w:tcPr>
          <w:p w14:paraId="7F1FAEF0">
            <w:pPr>
              <w:keepNext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（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4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）</w:t>
            </w: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商业模式和预期效益</w:t>
            </w:r>
          </w:p>
        </w:tc>
      </w:tr>
      <w:tr w14:paraId="7855E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05E5D622">
            <w:pPr>
              <w:widowControl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</w:p>
        </w:tc>
        <w:tc>
          <w:tcPr>
            <w:tcW w:w="8698" w:type="dxa"/>
            <w:gridSpan w:val="4"/>
            <w:vAlign w:val="center"/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潜在使用方为公共建筑运维团队及能源服务方，拟提供按设备点位配置的本地核查工具和接入服务。现阶段仅完成公开数据原型与功能验证，尚无试点、合作或收入事实。后续需经合法数据接入、工程师复核和现场验证后再确定收费。节能机会筛查为附属方向，当前不承诺节能量、人工工时或运维收益。</w:t>
            </w:r>
          </w:p>
        </w:tc>
      </w:tr>
      <w:tr w14:paraId="50244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restart"/>
            <w:shd w:val="clear" w:color="auto" w:fill="E7E6E6"/>
            <w:vAlign w:val="center"/>
          </w:tcPr>
          <w:p w14:paraId="208F3AE5">
            <w:pPr>
              <w:keepNext w:val="0"/>
              <w:keepLines w:val="0"/>
              <w:widowControl/>
              <w:spacing w:before="0" w:after="80" w:line="293" w:lineRule="auto"/>
              <w:jc w:val="center"/>
              <w:rPr>
                <w:rFonts w:ascii="SimSun" w:hAnsi="SimSun" w:eastAsia="SimSun" w:cs="SimSun"/>
                <w:kern w:val="0"/>
                <w:sz w:val="24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作品技术</w:t>
            </w:r>
          </w:p>
          <w:p w14:paraId="5E9AB716">
            <w:pPr>
              <w:keepNext w:val="0"/>
              <w:keepLines w:val="0"/>
              <w:widowControl/>
              <w:spacing w:before="0" w:after="80" w:line="293" w:lineRule="auto"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</w:rPr>
              <w:t>自评价</w:t>
            </w:r>
          </w:p>
        </w:tc>
        <w:tc>
          <w:tcPr>
            <w:tcW w:w="1464" w:type="dxa"/>
            <w:vAlign w:val="center"/>
          </w:tcPr>
          <w:p w14:paraId="2B6B5B04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kern w:val="0"/>
                <w:sz w:val="24"/>
                <w:szCs w:val="18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  <w:szCs w:val="18"/>
              </w:rPr>
              <w:t>作品所处</w:t>
            </w:r>
          </w:p>
          <w:p w14:paraId="091CD7F2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color w:val="595959"/>
                <w:kern w:val="0"/>
                <w:sz w:val="24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  <w:szCs w:val="18"/>
              </w:rPr>
              <w:t>研发阶段：</w:t>
            </w:r>
          </w:p>
        </w:tc>
        <w:tc>
          <w:tcPr>
            <w:tcW w:w="7234" w:type="dxa"/>
            <w:gridSpan w:val="3"/>
            <w:vAlign w:val="center"/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创意设计类；基础研究类；</w:t>
              <w:br/>
              <w:t>☑软硬件开发类；工程实施类</w:t>
            </w:r>
          </w:p>
        </w:tc>
      </w:tr>
      <w:tr w14:paraId="23A8F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0D480484">
            <w:pPr>
              <w:widowControl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75620A7F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color w:val="595959"/>
                <w:kern w:val="0"/>
                <w:sz w:val="24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  <w:szCs w:val="18"/>
              </w:rPr>
              <w:t>先进性：</w:t>
            </w:r>
          </w:p>
        </w:tc>
        <w:tc>
          <w:tcPr>
            <w:tcW w:w="7234" w:type="dxa"/>
            <w:gridSpan w:val="3"/>
            <w:vAlign w:val="center"/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国际领先；国际先进；国内领先；国内先进；</w:t>
              <w:br/>
              <w:t>国内一般；☑无法判断</w:t>
            </w:r>
          </w:p>
        </w:tc>
      </w:tr>
      <w:tr w14:paraId="771EF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4BB40A0B">
            <w:pPr>
              <w:widowControl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4DA94D54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kern w:val="0"/>
                <w:sz w:val="24"/>
                <w:szCs w:val="18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  <w:szCs w:val="18"/>
              </w:rPr>
              <w:t>成果交付物类型（可多选）</w:t>
            </w:r>
          </w:p>
        </w:tc>
        <w:tc>
          <w:tcPr>
            <w:tcW w:w="7234" w:type="dxa"/>
            <w:gridSpan w:val="3"/>
            <w:vAlign w:val="center"/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□硬件 ☑软件 □工艺 □方法 □服务 □商业模式</w:t>
              <w:br/>
              <w:t>□其他</w:t>
            </w:r>
          </w:p>
        </w:tc>
      </w:tr>
      <w:tr w14:paraId="3BCCB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5215EE54">
            <w:pPr>
              <w:widowControl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559DBAC9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kern w:val="0"/>
                <w:sz w:val="24"/>
                <w:szCs w:val="18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  <w:szCs w:val="18"/>
              </w:rPr>
              <w:t>技术成熟度（单选）：</w:t>
            </w:r>
          </w:p>
        </w:tc>
        <w:tc>
          <w:tcPr>
            <w:tcW w:w="7234" w:type="dxa"/>
            <w:gridSpan w:val="3"/>
            <w:vAlign w:val="center"/>
          </w:tcPr>
          <w:p w14:paraId="479A2096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kern w:val="0"/>
                <w:sz w:val="24"/>
                <w:szCs w:val="18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  <w:szCs w:val="18"/>
              </w:rPr>
              <w:t xml:space="preserve">□第1级 □第2级 □第3级 □第4级 </w:t>
            </w:r>
          </w:p>
          <w:p w14:paraId="3F66F272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kern w:val="0"/>
                <w:sz w:val="24"/>
                <w:szCs w:val="18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  <w:szCs w:val="18"/>
              </w:rPr>
              <w:t xml:space="preserve">□第5级 □第6级 □第7级 □第8级 </w:t>
            </w:r>
          </w:p>
          <w:p w14:paraId="090C9527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kern w:val="0"/>
                <w:sz w:val="24"/>
                <w:szCs w:val="18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  <w:szCs w:val="18"/>
              </w:rPr>
              <w:t>□第9级</w:t>
            </w:r>
          </w:p>
        </w:tc>
      </w:tr>
      <w:tr w14:paraId="75AE4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69E81CC6">
            <w:pPr>
              <w:widowControl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1651D406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color w:val="595959"/>
                <w:kern w:val="0"/>
                <w:sz w:val="24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  <w:szCs w:val="18"/>
              </w:rPr>
              <w:t>国内外对比参照物（可多个参照物）：</w:t>
            </w:r>
          </w:p>
        </w:tc>
        <w:tc>
          <w:tcPr>
            <w:tcW w:w="7234" w:type="dxa"/>
            <w:gridSpan w:val="3"/>
            <w:vAlign w:val="center"/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国际产品/技术/标准；国内产品/技术/标准：未开展独立对标。</w:t>
              <w:br/>
              <w:t>自身修复前实现仅作工程对照，不作为行业参照。</w:t>
            </w:r>
          </w:p>
        </w:tc>
      </w:tr>
      <w:tr w14:paraId="4DA05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52D3CA02">
            <w:pPr>
              <w:widowControl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074E71CC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kern w:val="0"/>
                <w:sz w:val="24"/>
                <w:szCs w:val="18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  <w:szCs w:val="18"/>
              </w:rPr>
              <w:t>关键指标</w:t>
            </w:r>
          </w:p>
          <w:p w14:paraId="22BB7561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color w:val="595959"/>
                <w:kern w:val="0"/>
                <w:sz w:val="24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  <w:szCs w:val="18"/>
              </w:rPr>
              <w:t>提升情况：（</w:t>
            </w:r>
            <w:r>
              <w:rPr>
                <w:rFonts w:ascii="SimSun" w:hAnsi="SimSun" w:eastAsia="SimSun" w:cs="SimSun"/>
                <w:b w:val="0"/>
                <w:bCs/>
                <w:color w:val="000000"/>
                <w:kern w:val="0"/>
                <w:sz w:val="21"/>
                <w:szCs w:val="18"/>
              </w:rPr>
              <w:t>关键指标一般3-5项，具体数值需有相关试验报告、第三方检测报告等佐证材料支撑</w:t>
            </w: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  <w:szCs w:val="18"/>
              </w:rPr>
              <w:t>）</w:t>
            </w:r>
          </w:p>
        </w:tc>
        <w:tc>
          <w:tcPr>
            <w:tcW w:w="7234" w:type="dxa"/>
            <w:gridSpan w:val="3"/>
            <w:vAlign w:val="center"/>
          </w:tcPr>
          <w:tbl>
            <w:tblPr>
              <w:tblStyle w:val="6"/>
              <w:tblpPr w:leftFromText="180" w:rightFromText="180" w:vertAnchor="text" w:horzAnchor="page" w:tblpXSpec="center" w:tblpY="396"/>
              <w:tblOverlap w:val="never"/>
              <w:tblW w:w="7018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11"/>
              <w:gridCol w:w="1170"/>
              <w:gridCol w:w="1124"/>
              <w:gridCol w:w="1095"/>
              <w:gridCol w:w="2118"/>
            </w:tblGrid>
            <w:tr w14:paraId="517BB7AC">
              <w:trPr>
                <w:trHeight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指标名称</w:t>
                  </w:r>
                </w:p>
              </w:tc>
              <w:tc>
                <w:tcPr>
                  <w:tcW w:w="83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指标值</w:t>
                  </w:r>
                </w:p>
              </w:tc>
              <w:tc>
                <w:tcPr>
                  <w:tcW w:w="80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参照值</w:t>
                  </w:r>
                </w:p>
              </w:tc>
              <w:tc>
                <w:tcPr>
                  <w:tcW w:w="78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提升度%</w:t>
                  </w:r>
                </w:p>
              </w:tc>
              <w:tc>
                <w:tcPr>
                  <w:tcW w:w="150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参照对象</w:t>
                  </w:r>
                </w:p>
              </w:tc>
            </w:tr>
            <w:tr w14:paraId="19C3468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历史总体正确率</w:t>
                  </w:r>
                </w:p>
              </w:tc>
              <w:tc>
                <w:tcPr>
                  <w:tcW w:w="83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21.43%</w:t>
                    <w:br/>
                    <w:t>24/112</w:t>
                  </w:r>
                </w:p>
              </w:tc>
              <w:tc>
                <w:tcPr>
                  <w:tcW w:w="80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5.36%</w:t>
                    <w:br/>
                    <w:t>6/112</w:t>
                  </w:r>
                </w:p>
              </w:tc>
              <w:tc>
                <w:tcPr>
                  <w:tcW w:w="78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+16.07</w:t>
                    <w:br/>
                    <w:t>个百分点</w:t>
                  </w:r>
                </w:p>
              </w:tc>
              <w:tc>
                <w:tcPr>
                  <w:tcW w:w="150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自身修复前实现</w:t>
                  </w:r>
                </w:p>
              </w:tc>
            </w:tr>
            <w:tr w14:paraId="51B52BA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审核反例正确拦截</w:t>
                  </w:r>
                </w:p>
              </w:tc>
              <w:tc>
                <w:tcPr>
                  <w:tcW w:w="83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2/2</w:t>
                  </w:r>
                </w:p>
              </w:tc>
              <w:tc>
                <w:tcPr>
                  <w:tcW w:w="80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0/2</w:t>
                  </w:r>
                </w:p>
              </w:tc>
              <w:tc>
                <w:tcPr>
                  <w:tcW w:w="78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不作泛化</w:t>
                    <w:br/>
                    <w:t>提升率</w:t>
                  </w:r>
                </w:p>
              </w:tc>
              <w:tc>
                <w:tcPr>
                  <w:tcW w:w="150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原两项反例</w:t>
                  </w:r>
                </w:p>
              </w:tc>
            </w:tr>
            <w:tr w14:paraId="6CA6FAA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原始CSV至核查卡</w:t>
                  </w:r>
                </w:p>
              </w:tc>
              <w:tc>
                <w:tcPr>
                  <w:tcW w:w="83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1个完整</w:t>
                    <w:br/>
                    <w:t>任务通过</w:t>
                  </w:r>
                </w:p>
              </w:tc>
              <w:tc>
                <w:tcPr>
                  <w:tcW w:w="80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无导入</w:t>
                    <w:br/>
                    <w:t>入口</w:t>
                  </w:r>
                </w:p>
              </w:tc>
              <w:tc>
                <w:tcPr>
                  <w:tcW w:w="78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不适用</w:t>
                  </w:r>
                </w:p>
              </w:tc>
              <w:tc>
                <w:tcPr>
                  <w:tcW w:w="150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shd w:val="clear" w:color="auto" w:fill="auto"/>
                  <w:vAlign w:val="center"/>
                </w:tcPr>
                <w:p>
                  <w:pPr>
                    <w:keepNext w:val="0"/>
                    <w:keepLines w:val="0"/>
                    <w:widowControl/>
                    <w:spacing w:before="0" w:after="80" w:line="293" w:lineRule="auto"/>
                  </w:pPr>
                  <w:r>
                    <w:rPr>
                      <w:rFonts w:ascii="SimSun" w:hAnsi="SimSun" w:eastAsia="SimSun" w:cs="SimSun"/>
                      <w:b w:val="0"/>
                      <w:color w:val="000000"/>
                      <w:sz w:val="18"/>
                    </w:rPr>
                    <w:t>原预置案例流程</w:t>
                  </w:r>
                </w:p>
              </w:tc>
            </w:tr>
          </w:tbl>
          <w:p w14:paraId="290D2574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color w:val="595959"/>
                <w:kern w:val="0"/>
                <w:sz w:val="24"/>
              </w:rPr>
            </w:pPr>
          </w:p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注：历史112条现仅作回归，含56个基础日工况及配对扰动；正常、泄漏召回仍为0，025/075基础工况正确数为1/14、11/14。自身工程修复不等于新算法。两个反例和一个导入任务不构成泛化性能估计。</w:t>
            </w:r>
          </w:p>
        </w:tc>
      </w:tr>
      <w:tr w14:paraId="1BCD2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  <w:cantSplit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71A2BBC4">
            <w:pPr>
              <w:widowControl/>
              <w:jc w:val="center"/>
              <w:rPr>
                <w:rFonts w:ascii="SimSun" w:hAnsi="SimSun" w:eastAsia="SimSun" w:cs="SimSu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66A02A37">
            <w:pPr>
              <w:keepNext w:val="0"/>
              <w:keepLines w:val="0"/>
              <w:widowControl/>
              <w:spacing w:before="0" w:after="80" w:line="293" w:lineRule="auto"/>
              <w:rPr>
                <w:rFonts w:ascii="SimSun" w:hAnsi="SimSun" w:eastAsia="SimSun" w:cs="SimSun"/>
                <w:color w:val="595959"/>
                <w:kern w:val="0"/>
                <w:sz w:val="24"/>
              </w:rPr>
            </w:pPr>
            <w:r>
              <w:rPr>
                <w:rFonts w:ascii="SimSun" w:hAnsi="SimSun" w:eastAsia="SimSun" w:cs="SimSun"/>
                <w:b w:val="0"/>
                <w:color w:val="000000"/>
                <w:kern w:val="0"/>
                <w:sz w:val="21"/>
                <w:szCs w:val="18"/>
              </w:rPr>
              <w:t>提升维度（可多选）：</w:t>
            </w:r>
          </w:p>
        </w:tc>
        <w:tc>
          <w:tcPr>
            <w:tcW w:w="7234" w:type="dxa"/>
            <w:gridSpan w:val="3"/>
            <w:vAlign w:val="center"/>
          </w:tcPr>
          <w:p>
            <w:pPr>
              <w:keepNext w:val="0"/>
              <w:keepLines w:val="0"/>
              <w:widowControl/>
              <w:spacing w:before="0" w:after="80" w:line="293" w:lineRule="auto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☑质量提升：消除两个已复现的质量/时长错误。</w:t>
              <w:br/>
              <w:t>成本降低、效率提升、交付周期：未验证。</w:t>
              <w:br/>
              <w:t>☑新功能实现：原始CSV导入至可阅读核查卡。</w:t>
            </w:r>
          </w:p>
        </w:tc>
      </w:tr>
    </w:tbl>
    <w:p w14:paraId="44058CED">
      <w:pPr>
        <w:keepNext w:val="0"/>
        <w:keepLines w:val="0"/>
        <w:widowControl/>
        <w:spacing w:before="0" w:after="80" w:line="293" w:lineRule="auto"/>
      </w:pPr>
      <w:bookmarkStart w:id="8" w:name="_GoBack"/>
      <w:bookmarkEnd w:id="8"/>
    </w:p>
    <w:sectPr>
      <w:footerReference r:id="rId3" w:type="default"/>
      <w:headerReference w:type="default" r:id="rId7"/>
      <w:pgSz w:w="11906" w:h="16838"/>
      <w:pgMar w:top="1440" w:right="1800" w:bottom="1440" w:left="1800" w:header="851" w:footer="992" w:gutter="0"/>
      <w:cols w:space="425" w:num="1"/>
    </w:sectPr>
  </w:body>
</w:document>
</file>

<file path=word/fontTable.xml><?xml version="1.0" encoding="utf-8"?>
<w:fonts xmlns:w="http://schemas.openxmlformats.org/wordprocessingml/2006/main">
  <w:font w:name="SimSun"/>
  <w:font w:name="SimHei"/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288CFF">
    <w:pPr>
      <w:pStyle w:val="3"/>
      <w:keepNext w:val="0"/>
      <w:keepLines w:val="0"/>
      <w:widowControl/>
      <w:spacing w:before="0" w:after="80" w:line="293" w:lineRule="auto"/>
    </w:pPr>
    <w:r>
      <w:rPr>
        <w:rFonts w:ascii="SimSun" w:hAnsi="SimSun" w:eastAsia="SimSun" w:cs="SimSun"/>
        <w:b w:val="0"/>
        <w:color w:val="000000"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8FF558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48FF558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 w:val="0"/>
      <w:widowControl/>
      <w:spacing w:before="0" w:after="80" w:line="293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165"/>
    <w:rsid w:val="00031165"/>
    <w:rsid w:val="0037319A"/>
    <w:rsid w:val="005123E3"/>
    <w:rsid w:val="005D78D3"/>
    <w:rsid w:val="005F7FC1"/>
    <w:rsid w:val="006022A5"/>
    <w:rsid w:val="006B55D6"/>
    <w:rsid w:val="00727B81"/>
    <w:rsid w:val="007E416A"/>
    <w:rsid w:val="00971413"/>
    <w:rsid w:val="00B40E5B"/>
    <w:rsid w:val="00C23A47"/>
    <w:rsid w:val="00EF0A52"/>
    <w:rsid w:val="00FA1DE6"/>
    <w:rsid w:val="035E7A16"/>
    <w:rsid w:val="06941DC6"/>
    <w:rsid w:val="19F6DA34"/>
    <w:rsid w:val="1C2838BF"/>
    <w:rsid w:val="1D485456"/>
    <w:rsid w:val="1F6B6AC0"/>
    <w:rsid w:val="1FFFE5BD"/>
    <w:rsid w:val="28CA642A"/>
    <w:rsid w:val="2BDF9E85"/>
    <w:rsid w:val="333FDE2C"/>
    <w:rsid w:val="3F67793C"/>
    <w:rsid w:val="42B0500A"/>
    <w:rsid w:val="4E7E31A0"/>
    <w:rsid w:val="56FBDE94"/>
    <w:rsid w:val="57F3806F"/>
    <w:rsid w:val="5BCF7AD3"/>
    <w:rsid w:val="5D6737D9"/>
    <w:rsid w:val="5F7104CA"/>
    <w:rsid w:val="5FF7D9B7"/>
    <w:rsid w:val="61302E91"/>
    <w:rsid w:val="65E81C09"/>
    <w:rsid w:val="68FE2FAA"/>
    <w:rsid w:val="6AEFC613"/>
    <w:rsid w:val="6C0543DC"/>
    <w:rsid w:val="6D7B6243"/>
    <w:rsid w:val="729F83BF"/>
    <w:rsid w:val="73AFC5D2"/>
    <w:rsid w:val="74EE481B"/>
    <w:rsid w:val="7BE7BF6D"/>
    <w:rsid w:val="7DEB5D9B"/>
    <w:rsid w:val="7EBF4FF9"/>
    <w:rsid w:val="7EF214DF"/>
    <w:rsid w:val="7F3FB076"/>
    <w:rsid w:val="7FA3E9E9"/>
    <w:rsid w:val="7FFC1E6F"/>
    <w:rsid w:val="95F7AE71"/>
    <w:rsid w:val="AFAFA80C"/>
    <w:rsid w:val="BEDDDA19"/>
    <w:rsid w:val="CD9D93A6"/>
    <w:rsid w:val="D2DFB62A"/>
    <w:rsid w:val="D7F3D222"/>
    <w:rsid w:val="D7FF1812"/>
    <w:rsid w:val="DBDD2C26"/>
    <w:rsid w:val="DDC75C74"/>
    <w:rsid w:val="E7DF63B9"/>
    <w:rsid w:val="EFFFCDC6"/>
    <w:rsid w:val="EFFFCFFB"/>
    <w:rsid w:val="F4FFBB93"/>
    <w:rsid w:val="F57B7FA2"/>
    <w:rsid w:val="F9A4F9A6"/>
    <w:rsid w:val="FBA7009F"/>
    <w:rsid w:val="FBDF64D5"/>
    <w:rsid w:val="FBEF3ABD"/>
    <w:rsid w:val="FDEECDC1"/>
    <w:rsid w:val="FDF4B82A"/>
    <w:rsid w:val="FDF7CF12"/>
    <w:rsid w:val="FEFE7C39"/>
    <w:rsid w:val="FF5F2A4D"/>
    <w:rsid w:val="FFE7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SimSun" w:hAnsi="SimSun" w:eastAsia="SimSun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SimSun" w:hAnsi="SimSun" w:eastAsia="SimSun" w:cs="SimSun"/>
      <w:kern w:val="2"/>
      <w:sz w:val="24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  <w:rPr>
      <w:rFonts w:ascii="SimSun" w:hAnsi="SimSun" w:eastAsia="SimSun" w:cs="SimSun"/>
      <w:sz w:val="24"/>
    </w:rPr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line="360" w:lineRule="auto"/>
      <w:ind w:firstLine="200" w:firstLineChars="200"/>
    </w:pPr>
    <w:rPr>
      <w:rFonts w:ascii="SimSun" w:hAnsi="SimSun" w:eastAsia="SimSun" w:cs="SimSun"/>
      <w:sz w:val="24"/>
      <w:szCs w:val="30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SimSun" w:hAnsi="SimSun" w:eastAsia="SimSun" w:cs="SimSun"/>
      <w:sz w:val="24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SimSun" w:hAnsi="SimSun" w:eastAsia="SimSun" w:cs="SimSun"/>
      <w:sz w:val="24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ascii="SimSun" w:hAnsi="SimSun" w:eastAsia="SimSun" w:cs="SimSun"/>
      <w:kern w:val="0"/>
      <w:sz w:val="24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9">
    <w:name w:val="Hyperlink"/>
    <w:basedOn w:val="8"/>
    <w:qFormat/>
    <w:uiPriority w:val="0"/>
    <w:rPr>
      <w:rFonts w:ascii="SimSun" w:hAnsi="SimSun" w:eastAsia="SimSun" w:cs="SimSun"/>
      <w:color w:val="0000FF"/>
      <w:sz w:val="24"/>
      <w:u w:val="single"/>
    </w:rPr>
  </w:style>
  <w:style w:type="character" w:customStyle="1" w:styleId="10">
    <w:name w:val="10"/>
    <w:basedOn w:val="8"/>
    <w:qFormat/>
    <w:uiPriority w:val="0"/>
    <w:rPr>
      <w:rFonts w:ascii="SimSun" w:hAnsi="SimSun" w:eastAsia="SimSun" w:cs="SimSun"/>
      <w:sz w:val="24"/>
    </w:rPr>
  </w:style>
  <w:style w:type="character" w:customStyle="1" w:styleId="11">
    <w:name w:val="15"/>
    <w:basedOn w:val="8"/>
    <w:qFormat/>
    <w:uiPriority w:val="0"/>
    <w:rPr>
      <w:rFonts w:ascii="SimSun" w:hAnsi="SimSun" w:eastAsia="SimSun" w:cs="SimSun"/>
      <w:b/>
      <w:sz w:val="24"/>
    </w:rPr>
  </w:style>
  <w:style w:type="paragraph" w:customStyle="1" w:styleId="12">
    <w:name w:val="指南标题3"/>
    <w:qFormat/>
    <w:uiPriority w:val="0"/>
    <w:pPr>
      <w:keepNext/>
      <w:keepLines/>
      <w:widowControl w:val="0"/>
      <w:spacing w:line="360" w:lineRule="auto"/>
      <w:outlineLvl w:val="2"/>
    </w:pPr>
    <w:rPr>
      <w:rFonts w:ascii="SimSun" w:hAnsi="SimSun" w:eastAsia="SimSun" w:cs="SimSun"/>
      <w:b/>
      <w:color w:val="000000"/>
      <w:kern w:val="2"/>
      <w:sz w:val="24"/>
      <w:szCs w:val="32"/>
      <w:lang w:val="en-US" w:eastAsia="zh-CN" w:bidi="ar-SA"/>
    </w:rPr>
  </w:style>
  <w:style w:type="paragraph" w:customStyle="1" w:styleId="13">
    <w:name w:val="Table Text"/>
    <w:basedOn w:val="1"/>
    <w:hidden/>
    <w:qFormat/>
    <w:uiPriority w:val="0"/>
    <w:pPr>
      <w:spacing w:before="127" w:line="360" w:lineRule="auto"/>
      <w:jc w:val="center"/>
    </w:pPr>
    <w:rPr>
      <w:rFonts w:ascii="SimSun" w:hAnsi="SimSun" w:eastAsia="SimSun" w:cs="SimSun"/>
      <w:sz w:val="24"/>
      <w:szCs w:val="28"/>
    </w:rPr>
  </w:style>
  <w:style w:type="paragraph" w:customStyle="1" w:styleId="14">
    <w:name w:val="指南标题2"/>
    <w:qFormat/>
    <w:uiPriority w:val="0"/>
    <w:pPr>
      <w:keepNext/>
      <w:keepLines/>
      <w:widowControl w:val="0"/>
      <w:spacing w:line="360" w:lineRule="auto"/>
      <w:outlineLvl w:val="1"/>
    </w:pPr>
    <w:rPr>
      <w:rFonts w:ascii="SimSun" w:hAnsi="SimSun" w:eastAsia="SimSun" w:cs="SimSun"/>
      <w:b/>
      <w:color w:val="000000"/>
      <w:kern w:val="2"/>
      <w:sz w:val="24"/>
      <w:szCs w:val="32"/>
      <w:lang w:val="en-US" w:eastAsia="zh-CN" w:bidi="ar-SA"/>
    </w:rPr>
  </w:style>
  <w:style w:type="character" w:customStyle="1" w:styleId="15">
    <w:name w:val="17"/>
    <w:basedOn w:val="8"/>
    <w:qFormat/>
    <w:uiPriority w:val="0"/>
    <w:rPr>
      <w:rFonts w:ascii="SimSun" w:hAnsi="SimSun" w:eastAsia="SimSun" w:cs="SimSun"/>
      <w:color w:val="FF0000"/>
      <w:sz w:val="24"/>
      <w:szCs w:val="24"/>
    </w:rPr>
  </w:style>
  <w:style w:type="character" w:customStyle="1" w:styleId="16">
    <w:name w:val="18"/>
    <w:basedOn w:val="8"/>
    <w:qFormat/>
    <w:uiPriority w:val="0"/>
    <w:rPr>
      <w:rFonts w:ascii="SimSun" w:hAnsi="SimSun" w:eastAsia="SimSun" w:cs="SimSun"/>
      <w:color w:val="0070C0"/>
      <w:sz w:val="24"/>
      <w:szCs w:val="22"/>
    </w:rPr>
  </w:style>
  <w:style w:type="character" w:customStyle="1" w:styleId="17">
    <w:name w:val="16"/>
    <w:basedOn w:val="8"/>
    <w:qFormat/>
    <w:uiPriority w:val="0"/>
    <w:rPr>
      <w:rFonts w:ascii="SimSun" w:hAnsi="SimSun" w:eastAsia="SimSun" w:cs="SimSun"/>
      <w:color w:val="800080"/>
      <w:sz w:val="24"/>
      <w:u w:val="single"/>
    </w:rPr>
  </w:style>
  <w:style w:type="paragraph" w:customStyle="1" w:styleId="18">
    <w:name w:val="正文-公1"/>
    <w:basedOn w:val="1"/>
    <w:qFormat/>
    <w:uiPriority w:val="0"/>
    <w:pPr>
      <w:spacing w:line="360" w:lineRule="auto"/>
      <w:ind w:firstLine="200" w:firstLineChars="200"/>
    </w:pPr>
    <w:rPr>
      <w:rFonts w:ascii="SimSun" w:hAnsi="SimSun" w:eastAsia="SimSun" w:cs="SimSun"/>
      <w:sz w:val="24"/>
      <w:szCs w:val="32"/>
    </w:rPr>
  </w:style>
  <w:style w:type="paragraph" w:customStyle="1" w:styleId="19">
    <w:name w:val="指南标题1"/>
    <w:qFormat/>
    <w:uiPriority w:val="0"/>
    <w:pPr>
      <w:keepNext/>
      <w:keepLines/>
      <w:widowControl w:val="0"/>
      <w:spacing w:after="120" w:line="360" w:lineRule="auto"/>
      <w:jc w:val="center"/>
      <w:outlineLvl w:val="0"/>
    </w:pPr>
    <w:rPr>
      <w:rFonts w:ascii="SimSun" w:hAnsi="SimSun" w:eastAsia="SimSun" w:cs="SimSun"/>
      <w:b/>
      <w:color w:val="000000"/>
      <w:kern w:val="44"/>
      <w:sz w:val="24"/>
      <w:szCs w:val="36"/>
      <w:lang w:val="en-US" w:eastAsia="zh-CN" w:bidi="ar-SA"/>
    </w:rPr>
  </w:style>
  <w:style w:type="paragraph" w:customStyle="1" w:styleId="20">
    <w:name w:val="指南标题"/>
    <w:basedOn w:val="1"/>
    <w:qFormat/>
    <w:uiPriority w:val="0"/>
    <w:pPr>
      <w:spacing w:line="360" w:lineRule="auto"/>
      <w:ind w:left="1433" w:hanging="1433" w:hangingChars="398"/>
      <w:jc w:val="center"/>
    </w:pPr>
    <w:rPr>
      <w:rFonts w:ascii="SimSun" w:hAnsi="SimSun" w:eastAsia="SimSun" w:cs="SimSun"/>
      <w:sz w:val="24"/>
      <w:szCs w:val="36"/>
    </w:rPr>
  </w:style>
  <w:style w:type="table" w:customStyle="1" w:styleId="21">
    <w:name w:val="Table Normal1"/>
    <w:basedOn w:val="6"/>
    <w:qFormat/>
    <w:uiPriority w:val="0"/>
    <w:tblPr>
      <w:tblCellMar>
        <w:left w:w="0" w:type="dxa"/>
        <w:right w:w="0" w:type="dxa"/>
      </w:tblCellMar>
    </w:tblPr>
  </w:style>
  <w:style w:type="character" w:customStyle="1" w:styleId="22">
    <w:name w:val="font61"/>
    <w:basedOn w:val="8"/>
    <w:autoRedefine/>
    <w:qFormat/>
    <w:uiPriority w:val="0"/>
    <w:rPr>
      <w:rFonts w:ascii="SimSun" w:hAnsi="SimSun" w:eastAsia="SimSun" w:cs="SimSun"/>
      <w:color w:val="FF0000"/>
      <w:sz w:val="24"/>
      <w:szCs w:val="24"/>
      <w:u w:val="none"/>
    </w:rPr>
  </w:style>
  <w:style w:type="character" w:customStyle="1" w:styleId="23">
    <w:name w:val="font31"/>
    <w:basedOn w:val="8"/>
    <w:autoRedefine/>
    <w:qFormat/>
    <w:uiPriority w:val="0"/>
    <w:rPr>
      <w:rFonts w:ascii="SimSun" w:hAnsi="SimSun" w:eastAsia="SimSun" w:cs="SimSun"/>
      <w:color w:val="0070C0"/>
      <w:sz w:val="24"/>
      <w:szCs w:val="22"/>
      <w:u w:val="none"/>
    </w:rPr>
  </w:style>
  <w:style w:type="paragraph" w:customStyle="1" w:styleId="24">
    <w:name w:val="Revision"/>
    <w:hidden/>
    <w:unhideWhenUsed/>
    <w:qFormat/>
    <w:uiPriority w:val="99"/>
    <w:rPr>
      <w:rFonts w:ascii="SimSun" w:hAnsi="SimSun" w:eastAsia="SimSun" w:cs="SimSun"/>
      <w:kern w:val="2"/>
      <w:sz w:val="24"/>
      <w:szCs w:val="24"/>
      <w:lang w:val="en-US" w:eastAsia="zh-CN" w:bidi="ar-SA"/>
    </w:rPr>
  </w:style>
  <w:style w:type="paragraph" w:customStyle="1" w:styleId="Title">
    <w:name w:val="Title"/>
    <w:rPr>
      <w:rFonts w:ascii="SimSun" w:hAnsi="SimSun" w:eastAsia="SimSun" w:cs="SimSun"/>
      <w:sz w:val="24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Office Open XML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2025-06-04T12:42:00Z</dcterms:created>
  <dc:creator/>
  <cp:lastModifiedBy/>
  <dcterms:modified xsi:type="dcterms:W3CDTF">2026-06-26T10:41:35Z</dcterms:modified>
  <cp:revision>2</cp:revision>
  <dc:title>能智核——公共建筑用能异常核验工作台</dc:title>
  <dc:subject>智慧能源与环境</dc:subject>
  <dc:description/>
</cp:coreProperties>
</file>