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pacing w:before="0" w:after="80" w:line="293" w:lineRule="auto"/>
      </w:pPr>
      <w:r>
        <w:rPr>
          <w:rFonts w:ascii="SimSun" w:hAnsi="SimSun" w:eastAsia="SimSun" w:cs="SimSun"/>
          <w:b w:val="0"/>
          <w:color w:val="000000"/>
          <w:sz w:val="21"/>
        </w:rPr>
        <w:t>附件2：</w:t>
      </w:r>
    </w:p>
    <w:p>
      <w:pPr>
        <w:keepNext/>
        <w:keepLines/>
        <w:widowControl/>
        <w:spacing w:before="100" w:after="120" w:line="293" w:lineRule="auto"/>
        <w:jc w:val="center"/>
      </w:pPr>
      <w:r>
        <w:rPr>
          <w:rFonts w:ascii="SimHei" w:hAnsi="SimHei" w:eastAsia="SimHei" w:cs="SimHei"/>
          <w:b/>
          <w:color w:val="000000"/>
          <w:sz w:val="28"/>
        </w:rPr>
        <w:t>第十二届中国研究生智慧城市技术与创意设计大赛</w:t>
      </w:r>
    </w:p>
    <w:p>
      <w:pPr>
        <w:pStyle w:val="Title"/>
        <w:keepNext/>
        <w:keepLines/>
        <w:widowControl/>
        <w:spacing w:before="100" w:after="120" w:line="293" w:lineRule="auto"/>
        <w:jc w:val="center"/>
      </w:pPr>
      <w:r>
        <w:rPr>
          <w:rFonts w:ascii="SimHei" w:hAnsi="SimHei" w:eastAsia="SimHei" w:cs="SimHei"/>
          <w:b/>
          <w:color w:val="000000"/>
          <w:sz w:val="32"/>
        </w:rPr>
        <w:t>创意设计赛项目说明书</w:t>
      </w:r>
    </w:p>
    <w:p>
      <w:pPr>
        <w:keepNext/>
        <w:keepLines/>
        <w:widowControl/>
        <w:spacing w:before="100" w:after="120" w:line="293" w:lineRule="auto"/>
        <w:jc w:val="center"/>
      </w:pPr>
      <w:r>
        <w:rPr>
          <w:rFonts w:ascii="SimHei" w:hAnsi="SimHei" w:eastAsia="SimHei" w:cs="SimHei"/>
          <w:b/>
          <w:color w:val="000000"/>
          <w:sz w:val="24"/>
        </w:rPr>
        <w:t>能智核——公共建筑用能异常核验工作台</w:t>
      </w:r>
    </w:p>
    <w:p>
      <w:pPr>
        <w:keepNext w:val="0"/>
        <w:keepLines w:val="0"/>
        <w:widowControl/>
        <w:spacing w:before="0" w:after="80" w:line="293" w:lineRule="auto"/>
        <w:jc w:val="center"/>
      </w:pPr>
      <w:r>
        <w:rPr>
          <w:rFonts w:ascii="SimSun" w:hAnsi="SimSun" w:eastAsia="SimSun" w:cs="SimSun"/>
          <w:b w:val="0"/>
          <w:color w:val="000000"/>
          <w:sz w:val="21"/>
        </w:rPr>
        <w:t>参赛方向：智慧能源与环境</w:t>
      </w:r>
    </w:p>
    <w:p>
      <w:pPr>
        <w:keepNext/>
        <w:keepLines/>
        <w:widowControl/>
        <w:spacing w:before="100" w:after="120" w:line="293" w:lineRule="auto"/>
      </w:pPr>
      <w:r>
        <w:rPr>
          <w:rFonts w:ascii="SimHei" w:hAnsi="SimHei" w:eastAsia="SimHei" w:cs="SimHei"/>
          <w:b/>
          <w:color w:val="000000"/>
          <w:sz w:val="28"/>
        </w:rPr>
        <w:t>一、立项依据（不超过2000字）</w:t>
      </w:r>
    </w:p>
    <w:p>
      <w:pPr>
        <w:keepNext w:val="0"/>
        <w:keepLines w:val="0"/>
        <w:widowControl/>
        <w:spacing w:before="0" w:after="80" w:line="276" w:lineRule="auto"/>
      </w:pPr>
      <w:r>
        <w:rPr>
          <w:rFonts w:ascii="SimSun" w:hAnsi="SimSun" w:eastAsia="SimSun" w:cs="SimSun"/>
          <w:b w:val="0"/>
          <w:color w:val="000000"/>
          <w:sz w:val="22"/>
        </w:rPr>
        <w:t>能智核面向公共建筑管理人员处理用能告警后的核查任务：先判断数据是否可用，再判断现有工况能否检验设备疑点，最后记录下一步动作。作品已完成限定公开数据范围的本地核验工作台，管理人员可将原始CSV映射为证据，导出可阅读、可追溯的核查卡。</w:t>
      </w:r>
    </w:p>
    <w:p>
      <w:pPr>
        <w:keepNext w:val="0"/>
        <w:keepLines w:val="0"/>
        <w:widowControl/>
        <w:spacing w:before="0" w:after="80" w:line="276" w:lineRule="auto"/>
      </w:pPr>
      <w:r>
        <w:rPr>
          <w:rFonts w:ascii="SimSun" w:hAnsi="SimSun" w:eastAsia="SimSun" w:cs="SimSun"/>
          <w:b w:val="0"/>
          <w:color w:val="000000"/>
          <w:sz w:val="22"/>
        </w:rPr>
        <w:t>能耗变化本身不能直接指认设备故障。温度单位不一致、时间间隔错标或重复记录，会改变运行分钟和证据窗口；停机、持续制冷等工况又可能无法检验某项故障。若把这些问题混为一个“异常分数”，使用者难以判断应修数据、补时段还是检查设备。</w:t>
      </w:r>
    </w:p>
    <w:p>
      <w:pPr>
        <w:keepNext w:val="0"/>
        <w:keepLines w:val="0"/>
        <w:widowControl/>
        <w:spacing w:before="0" w:after="80" w:line="276" w:lineRule="auto"/>
      </w:pPr>
      <w:r>
        <w:rPr>
          <w:rFonts w:ascii="SimSun" w:hAnsi="SimSun" w:eastAsia="SimSun" w:cs="SimSun"/>
          <w:b w:val="0"/>
          <w:color w:val="000000"/>
          <w:sz w:val="22"/>
        </w:rPr>
        <w:t>美国能源部EMIS资料将故障检测与诊断列为建筑能源信息管理的应用，说明其依赖多种运行数据，部分问题仍需额外分析或现场核查。能智核由此选择具体的告警核查环节，重点交付证据条件与行动清单。当前验证来自LBNL单风道机组公开仿真数据；BDG2仅承担真实用能曲线回放，两种数据不拼接成真实楼宇定位证据。</w:t>
      </w:r>
    </w:p>
    <w:p>
      <w:pPr>
        <w:keepNext/>
        <w:keepLines/>
        <w:widowControl/>
        <w:spacing w:before="100" w:after="120" w:line="293" w:lineRule="auto"/>
      </w:pPr>
      <w:r>
        <w:rPr>
          <w:rFonts w:ascii="SimHei" w:hAnsi="SimHei" w:eastAsia="SimHei" w:cs="SimHei"/>
          <w:b/>
          <w:color w:val="000000"/>
          <w:sz w:val="28"/>
        </w:rPr>
        <w:t>二、项目创新内容（不超过3000字）</w:t>
      </w:r>
    </w:p>
    <w:p>
      <w:pPr>
        <w:keepNext/>
        <w:keepLines/>
        <w:widowControl/>
        <w:spacing w:before="100" w:after="120" w:line="293" w:lineRule="auto"/>
      </w:pPr>
      <w:r>
        <w:rPr>
          <w:rFonts w:ascii="SimHei" w:hAnsi="SimHei" w:eastAsia="SimHei" w:cs="SimHei"/>
          <w:b/>
          <w:color w:val="000000"/>
          <w:sz w:val="24"/>
        </w:rPr>
        <w:t>1．项目总体思路</w:t>
      </w:r>
    </w:p>
    <w:p>
      <w:pPr>
        <w:keepNext w:val="0"/>
        <w:keepLines w:val="0"/>
        <w:widowControl/>
        <w:spacing w:before="0" w:after="80" w:line="276" w:lineRule="auto"/>
      </w:pPr>
      <w:r>
        <w:rPr>
          <w:rFonts w:ascii="SimSun" w:hAnsi="SimSun" w:eastAsia="SimSun" w:cs="SimSun"/>
          <w:b w:val="0"/>
          <w:color w:val="000000"/>
          <w:sz w:val="22"/>
        </w:rPr>
        <w:t>用户围绕一项疑点查看当前工况、数据质量、支持与限制证据及补证要求。三个演示分别展示真实用能回放、仿真工况核验和“修正数据后设备疑点仍存在”。新增原始CSV入口使这一流程可由用户操作重现。</w:t>
      </w:r>
    </w:p>
    <w:p>
      <w:pPr>
        <w:keepNext/>
        <w:spacing w:after="60"/>
      </w:pPr>
      <w:r>
        <w:drawing>
          <wp:inline xmlns:a="http://schemas.openxmlformats.org/drawingml/2006/main" xmlns:pic="http://schemas.openxmlformats.org/drawingml/2006/picture">
            <wp:extent cx="5212080" cy="2933598"/>
            <wp:docPr id="1" name="Picture 1"/>
            <wp:cNvGraphicFramePr>
              <a:graphicFrameLocks noChangeAspect="1"/>
            </wp:cNvGraphicFramePr>
            <a:graphic>
              <a:graphicData uri="http://schemas.openxmlformats.org/drawingml/2006/picture">
                <pic:pic>
                  <pic:nvPicPr>
                    <pic:cNvPr id="0" name="workbench_top.png"/>
                    <pic:cNvPicPr/>
                  </pic:nvPicPr>
                  <pic:blipFill>
                    <a:blip r:embed="rId8"/>
                    <a:stretch>
                      <a:fillRect/>
                    </a:stretch>
                  </pic:blipFill>
                  <pic:spPr>
                    <a:xfrm>
                      <a:off x="0" y="0"/>
                      <a:ext cx="5212080" cy="2933598"/>
                    </a:xfrm>
                    <a:prstGeom prst="rect"/>
                  </pic:spPr>
                </pic:pic>
              </a:graphicData>
            </a:graphic>
          </wp:inline>
        </w:drawing>
      </w:r>
    </w:p>
    <w:p>
      <w:pPr>
        <w:keepNext w:val="0"/>
        <w:keepLines w:val="0"/>
        <w:widowControl/>
        <w:spacing w:before="0" w:after="80" w:line="293" w:lineRule="auto"/>
        <w:jc w:val="center"/>
      </w:pPr>
      <w:r>
        <w:rPr>
          <w:rFonts w:ascii="SimSun" w:hAnsi="SimSun" w:eastAsia="SimSun" w:cs="SimSun"/>
          <w:b w:val="0"/>
          <w:color w:val="000000"/>
          <w:sz w:val="19"/>
        </w:rPr>
        <w:t>图1 实际工作台：公开CSV完成映射后进入同一核验流程。</w:t>
      </w:r>
    </w:p>
    <w:p>
      <w:pPr>
        <w:keepNext/>
        <w:keepLines/>
        <w:widowControl/>
        <w:spacing w:before="100" w:after="120" w:line="293" w:lineRule="auto"/>
      </w:pPr>
      <w:r>
        <w:rPr>
          <w:rFonts w:ascii="SimHei" w:hAnsi="SimHei" w:eastAsia="SimHei" w:cs="SimHei"/>
          <w:b/>
          <w:color w:val="000000"/>
          <w:sz w:val="24"/>
        </w:rPr>
        <w:t>2．可行性分析：项目的技术或实施可行性。</w:t>
      </w:r>
    </w:p>
    <w:p>
      <w:pPr>
        <w:keepNext w:val="0"/>
        <w:keepLines w:val="0"/>
        <w:widowControl/>
        <w:spacing w:before="0" w:after="80" w:line="276" w:lineRule="auto"/>
      </w:pPr>
      <w:r>
        <w:rPr>
          <w:rFonts w:ascii="SimSun" w:hAnsi="SimSun" w:eastAsia="SimSun" w:cs="SimSun"/>
          <w:b w:val="0"/>
          <w:color w:val="000000"/>
          <w:sz w:val="22"/>
        </w:rPr>
        <w:t>系统由本地Python数值程序和浏览器界面组成，不需要付费API。已有17类允许点位的映射、单位转换、启停与窗口规则、参考包络及可追溯导出。公开源文件、字段说明、转换记录、反例和回归输入随复现包提供，数值均由程序计算。当前CSV入口仅接收LBNL单风道机组仿真日片段；接入其他楼宇须另行定义点位、校准与验证。</w:t>
      </w:r>
    </w:p>
    <w:p>
      <w:pPr>
        <w:keepNext/>
        <w:keepLines/>
        <w:widowControl/>
        <w:spacing w:before="100" w:after="120" w:line="293" w:lineRule="auto"/>
      </w:pPr>
      <w:r>
        <w:rPr>
          <w:rFonts w:ascii="SimHei" w:hAnsi="SimHei" w:eastAsia="SimHei" w:cs="SimHei"/>
          <w:b/>
          <w:color w:val="000000"/>
          <w:sz w:val="24"/>
        </w:rPr>
        <w:t>3．本项目的特色与创新之处。</w:t>
      </w:r>
    </w:p>
    <w:p>
      <w:pPr>
        <w:keepNext w:val="0"/>
        <w:keepLines w:val="0"/>
        <w:widowControl/>
        <w:spacing w:before="0" w:after="80" w:line="276" w:lineRule="auto"/>
      </w:pPr>
      <w:r>
        <w:rPr>
          <w:rFonts w:ascii="SimSun" w:hAnsi="SimSun" w:eastAsia="SimSun" w:cs="SimSun"/>
          <w:b w:val="0"/>
          <w:color w:val="000000"/>
          <w:sz w:val="22"/>
        </w:rPr>
        <w:t>产品特色是把故障假设的可检验性作为结果的一部分：缺点位、工况不适用、证据冲突与已有支持证据分别解释，并写明应补的传感器或运行时段。数据质量与设备判断采用两个维度；同一质量对象贯穿服务、诊断、界面和导出，避免内部拒判而质量卡仍显示通过。正常参考包络内的观察只按证据强度表述，不能据此排除全部故障。</w:t>
      </w:r>
    </w:p>
    <w:p>
      <w:pPr>
        <w:keepNext w:val="0"/>
        <w:keepLines w:val="0"/>
        <w:widowControl/>
        <w:spacing w:before="0" w:after="80" w:line="276" w:lineRule="auto"/>
      </w:pPr>
      <w:r>
        <w:rPr>
          <w:rFonts w:ascii="SimSun" w:hAnsi="SimSun" w:eastAsia="SimSun" w:cs="SimSun"/>
          <w:b w:val="0"/>
          <w:color w:val="000000"/>
          <w:sz w:val="22"/>
        </w:rPr>
        <w:t>这些特色属于核查流程设计与工程可靠性实现。现有证据尚未证明原创诊断算法、主动查询增益或人工运维提效；固定流程与自适应规则在历史主预算4下未显示核查收益。</w:t>
      </w:r>
    </w:p>
    <w:p>
      <w:pPr>
        <w:keepNext/>
        <w:keepLines/>
        <w:widowControl/>
        <w:spacing w:before="100" w:after="120" w:line="293" w:lineRule="auto"/>
      </w:pPr>
      <w:r>
        <w:rPr>
          <w:rFonts w:ascii="SimHei" w:hAnsi="SimHei" w:eastAsia="SimHei" w:cs="SimHei"/>
          <w:b/>
          <w:color w:val="000000"/>
          <w:sz w:val="28"/>
        </w:rPr>
        <w:t>三、实施方案（不超过3000字）</w:t>
      </w:r>
    </w:p>
    <w:p>
      <w:pPr>
        <w:keepNext/>
        <w:keepLines/>
        <w:widowControl/>
        <w:spacing w:before="100" w:after="120" w:line="293" w:lineRule="auto"/>
      </w:pPr>
      <w:r>
        <w:rPr>
          <w:rFonts w:ascii="SimHei" w:hAnsi="SimHei" w:eastAsia="SimHei" w:cs="SimHei"/>
          <w:b/>
          <w:color w:val="000000"/>
          <w:sz w:val="24"/>
        </w:rPr>
        <w:t>输入与核验流程</w:t>
      </w:r>
    </w:p>
    <w:p>
      <w:pPr>
        <w:keepNext/>
        <w:spacing w:after="60"/>
      </w:pPr>
      <w:r>
        <w:drawing>
          <wp:inline xmlns:a="http://schemas.openxmlformats.org/drawingml/2006/main" xmlns:pic="http://schemas.openxmlformats.org/drawingml/2006/picture">
            <wp:extent cx="5212080" cy="2606040"/>
            <wp:docPr id="2" name="Picture 2"/>
            <wp:cNvGraphicFramePr>
              <a:graphicFrameLocks noChangeAspect="1"/>
            </wp:cNvGraphicFramePr>
            <a:graphic>
              <a:graphicData uri="http://schemas.openxmlformats.org/drawingml/2006/picture">
                <pic:pic>
                  <pic:nvPicPr>
                    <pic:cNvPr id="0" name="flow.png"/>
                    <pic:cNvPicPr/>
                  </pic:nvPicPr>
                  <pic:blipFill>
                    <a:blip r:embed="rId9"/>
                    <a:stretch>
                      <a:fillRect/>
                    </a:stretch>
                  </pic:blipFill>
                  <pic:spPr>
                    <a:xfrm>
                      <a:off x="0" y="0"/>
                      <a:ext cx="5212080" cy="2606040"/>
                    </a:xfrm>
                    <a:prstGeom prst="rect"/>
                  </pic:spPr>
                </pic:pic>
              </a:graphicData>
            </a:graphic>
          </wp:inline>
        </w:drawing>
      </w:r>
    </w:p>
    <w:p>
      <w:pPr>
        <w:keepNext w:val="0"/>
        <w:keepLines w:val="0"/>
        <w:widowControl/>
        <w:spacing w:before="0" w:after="80" w:line="293" w:lineRule="auto"/>
        <w:jc w:val="center"/>
      </w:pPr>
      <w:r>
        <w:rPr>
          <w:rFonts w:ascii="SimSun" w:hAnsi="SimSun" w:eastAsia="SimSun" w:cs="SimSun"/>
          <w:b w:val="0"/>
          <w:color w:val="000000"/>
          <w:sz w:val="19"/>
        </w:rPr>
        <w:t>图2 与当前代码对应的输入、质量、适用条件、证据计算与导出流程。</w:t>
      </w:r>
    </w:p>
    <w:p>
      <w:pPr>
        <w:keepNext w:val="0"/>
        <w:keepLines w:val="0"/>
        <w:widowControl/>
        <w:spacing w:before="0" w:after="80" w:line="276" w:lineRule="auto"/>
      </w:pPr>
      <w:r>
        <w:rPr>
          <w:rFonts w:ascii="SimSun" w:hAnsi="SimSun" w:eastAsia="SimSun" w:cs="SimSun"/>
          <w:b w:val="0"/>
          <w:color w:val="000000"/>
          <w:sz w:val="22"/>
        </w:rPr>
        <w:t>导入时显式指定时间列、源点位、单位和原始采样间隔。公开样例保留源年度CSV中2018年4月10日的原始1440行、31列；该日期为已有开发演示，不计新验证。仅17类允许点位进入诊断，文件名、故障标签、故障设置和实际阀位反馈均不作输入。1分钟数据只在完整5点桶内取均值；任一点位缺值则保留该桶缺值。源数据时间不递增、重复、实际间隔与声明不符或映射越界时明确拒绝。</w:t>
      </w:r>
    </w:p>
    <w:p>
      <w:pPr>
        <w:keepNext w:val="0"/>
        <w:keepLines w:val="0"/>
        <w:widowControl/>
        <w:spacing w:before="0" w:after="80" w:line="276" w:lineRule="auto"/>
      </w:pPr>
      <w:r>
        <w:rPr>
          <w:rFonts w:ascii="SimSun" w:hAnsi="SimSun" w:eastAsia="SimSun" w:cs="SimSun"/>
          <w:b w:val="0"/>
          <w:color w:val="000000"/>
          <w:sz w:val="22"/>
        </w:rPr>
        <w:t>质量有效后，程序剔除启动前30分钟，按真实时间连续性生成30分钟窗口，累计至少60分钟合格证据。风路核验要求室外与回风温差至少3℃并有对应指令参考；盘管核验要求风机稳定、零关阀指令持续至少75分钟，扣除15分钟等待后形成两个窗口，并有参考覆盖。未出现合格工况时保留未决。修改可用证据或修正重复数据后，重新计算并生成新运行编号。</w:t>
      </w:r>
    </w:p>
    <w:p>
      <w:pPr>
        <w:keepNext/>
        <w:keepLines/>
        <w:widowControl/>
        <w:spacing w:before="100" w:after="120" w:line="293" w:lineRule="auto"/>
      </w:pPr>
      <w:r>
        <w:rPr>
          <w:rFonts w:ascii="SimHei" w:hAnsi="SimHei" w:eastAsia="SimHei" w:cs="SimHei"/>
          <w:b/>
          <w:color w:val="000000"/>
          <w:sz w:val="24"/>
        </w:rPr>
        <w:t>已完成的功能与可靠性验证</w:t>
      </w:r>
    </w:p>
    <w:tbl>
      <w:tblPr>
        <w:tblW w:type="auto" w:w="0"/>
        <w:tblLayout w:type="fixed"/>
        <w:tblLook w:firstColumn="1" w:firstRow="1" w:lastColumn="0" w:lastRow="0" w:noHBand="0" w:noVBand="1" w:val="04A0"/>
      </w:tblPr>
      <w:tblGrid>
        <w:gridCol w:w="4153"/>
        <w:gridCol w:w="4153"/>
      </w:tblGrid>
      <w:tr>
        <w:trPr>
          <w:cantSplit/>
          <w:tblHeader/>
        </w:trPr>
        <w:tc>
          <w:tcPr>
            <w:tcW w:type="dxa" w:w="2088"/>
            <w:vAlign w:val="center"/>
            <w:tcBorders>
              <w:top w:val="single" w:sz="4" w:color="BBCBC5"/>
              <w:left w:val="single" w:sz="4" w:color="BBCBC5"/>
              <w:bottom w:val="single" w:sz="4" w:color="BBCBC5"/>
              <w:right w:val="single" w:sz="4" w:color="BBCBC5"/>
            </w:tcBorders>
            <w:shd w:fill="EDF3EF"/>
          </w:tcPr>
          <w:p>
            <w:pPr>
              <w:keepNext/>
              <w:keepLines/>
              <w:widowControl/>
              <w:spacing w:before="100" w:after="120" w:line="293" w:lineRule="auto"/>
            </w:pPr>
            <w:r>
              <w:rPr>
                <w:rFonts w:ascii="SimHei" w:hAnsi="SimHei" w:eastAsia="SimHei" w:cs="SimHei"/>
                <w:b/>
                <w:color w:val="000000"/>
                <w:sz w:val="21"/>
              </w:rPr>
              <w:t>验证任务</w:t>
            </w:r>
          </w:p>
        </w:tc>
        <w:tc>
          <w:tcPr>
            <w:tcW w:type="dxa" w:w="6048"/>
            <w:vAlign w:val="center"/>
            <w:tcBorders>
              <w:top w:val="single" w:sz="4" w:color="BBCBC5"/>
              <w:left w:val="single" w:sz="4" w:color="BBCBC5"/>
              <w:bottom w:val="single" w:sz="4" w:color="BBCBC5"/>
              <w:right w:val="single" w:sz="4" w:color="BBCBC5"/>
            </w:tcBorders>
            <w:shd w:fill="EDF3EF"/>
          </w:tcPr>
          <w:p>
            <w:pPr>
              <w:keepNext/>
              <w:keepLines/>
              <w:widowControl/>
              <w:spacing w:before="100" w:after="120" w:line="293" w:lineRule="auto"/>
            </w:pPr>
            <w:r>
              <w:rPr>
                <w:rFonts w:ascii="SimHei" w:hAnsi="SimHei" w:eastAsia="SimHei" w:cs="SimHei"/>
                <w:b/>
                <w:color w:val="000000"/>
                <w:sz w:val="21"/>
              </w:rPr>
              <w:t>实际结果</w:t>
            </w:r>
          </w:p>
        </w:tc>
      </w:tr>
      <w:tr>
        <w:trPr>
          <w:cantSplit/>
        </w:trPr>
        <w:tc>
          <w:tcPr>
            <w:tcW w:type="dxa" w:w="208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单位反例</w:t>
            </w:r>
          </w:p>
        </w:tc>
        <w:tc>
          <w:tcPr>
            <w:tcW w:type="dxa" w:w="604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室外温度仅改标degF：质量、设备、导出一致拒判。</w:t>
            </w:r>
          </w:p>
        </w:tc>
      </w:tr>
      <w:tr>
        <w:trPr>
          <w:cantSplit/>
        </w:trPr>
        <w:tc>
          <w:tcPr>
            <w:tcW w:type="dxa" w:w="208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时间轴反例</w:t>
            </w:r>
          </w:p>
        </w:tc>
        <w:tc>
          <w:tcPr>
            <w:tcW w:type="dxa" w:w="604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1分钟时间戳冒充5分钟：拒判，累计运行分钟及窗口为0。</w:t>
            </w:r>
          </w:p>
        </w:tc>
      </w:tr>
      <w:tr>
        <w:trPr>
          <w:cantSplit/>
        </w:trPr>
        <w:tc>
          <w:tcPr>
            <w:tcW w:type="dxa" w:w="208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原始CSV完整操作</w:t>
            </w:r>
          </w:p>
        </w:tc>
        <w:tc>
          <w:tcPr>
            <w:tcW w:type="dxa" w:w="604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本地选择文件、映射、1440→288行、核验及HTML核查卡导出通过。</w:t>
            </w:r>
          </w:p>
        </w:tc>
      </w:tr>
      <w:tr>
        <w:trPr>
          <w:cantSplit/>
        </w:trPr>
        <w:tc>
          <w:tcPr>
            <w:tcW w:type="dxa" w:w="208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修正数据继续核查</w:t>
            </w:r>
          </w:p>
        </w:tc>
        <w:tc>
          <w:tcPr>
            <w:tcW w:type="dxa" w:w="604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删除12条完全重复记录后质量恢复；风阀疑点仍保留。</w:t>
            </w:r>
          </w:p>
        </w:tc>
      </w:tr>
      <w:tr>
        <w:trPr>
          <w:cantSplit/>
        </w:trPr>
        <w:tc>
          <w:tcPr>
            <w:tcW w:type="dxa" w:w="208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回归检查</w:t>
            </w:r>
          </w:p>
        </w:tc>
        <w:tc>
          <w:tcPr>
            <w:tcW w:type="dxa" w:w="604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29项可靠性检查通过；历史112条预测与上轮逐条一致。</w:t>
            </w:r>
          </w:p>
        </w:tc>
      </w:tr>
    </w:tbl>
    <w:p>
      <w:pPr>
        <w:keepNext/>
        <w:keepLines/>
        <w:widowControl/>
        <w:spacing w:before="100" w:after="120" w:line="293" w:lineRule="auto"/>
      </w:pPr>
      <w:r>
        <w:rPr>
          <w:rFonts w:ascii="SimHei" w:hAnsi="SimHei" w:eastAsia="SimHei" w:cs="SimHei"/>
          <w:b/>
          <w:color w:val="000000"/>
          <w:sz w:val="24"/>
        </w:rPr>
        <w:t>诊断结果与有效范围</w:t>
      </w:r>
    </w:p>
    <w:p>
      <w:pPr>
        <w:keepNext w:val="0"/>
        <w:keepLines w:val="0"/>
        <w:widowControl/>
        <w:spacing w:before="0" w:after="80" w:line="276" w:lineRule="auto"/>
      </w:pPr>
      <w:r>
        <w:rPr>
          <w:rFonts w:ascii="SimSun" w:hAnsi="SimSun" w:eastAsia="SimSun" w:cs="SimSun"/>
          <w:b w:val="0"/>
          <w:color w:val="000000"/>
          <w:sz w:val="22"/>
        </w:rPr>
        <w:t>历史自身工程修复对照为6/112→24/112，总体正确率5.36%→21.43%，增加16.07个百分点；未决计入分母，异常未定位不算三分类正确。已判24条中错误0条；覆盖率与正确率数值相同，不作为独立进步重复计项。旧新共同正确4条，新增20条、退回未决2条，并非逐例改善。112条由56个基础日工况及其重复记录扰动组成，来自14个日期、同一仿真系统。</w:t>
      </w:r>
    </w:p>
    <w:tbl>
      <w:tblPr>
        <w:tblW w:type="auto" w:w="0"/>
        <w:tblLayout w:type="fixed"/>
        <w:tblLook w:firstColumn="1" w:firstRow="1" w:lastColumn="0" w:lastRow="0" w:noHBand="0" w:noVBand="1" w:val="04A0"/>
      </w:tblPr>
      <w:tblGrid>
        <w:gridCol w:w="2076"/>
        <w:gridCol w:w="2076"/>
        <w:gridCol w:w="2076"/>
        <w:gridCol w:w="2076"/>
      </w:tblGrid>
      <w:tr>
        <w:trPr>
          <w:cantSplit/>
          <w:tblHeader/>
        </w:trPr>
        <w:tc>
          <w:tcPr>
            <w:tcW w:type="dxa" w:w="3384"/>
            <w:vAlign w:val="center"/>
            <w:tcBorders>
              <w:top w:val="single" w:sz="4" w:color="BBCBC5"/>
              <w:left w:val="single" w:sz="4" w:color="BBCBC5"/>
              <w:bottom w:val="single" w:sz="4" w:color="BBCBC5"/>
              <w:right w:val="single" w:sz="4" w:color="BBCBC5"/>
            </w:tcBorders>
            <w:shd w:fill="EDF3EF"/>
          </w:tcPr>
          <w:p>
            <w:pPr>
              <w:keepNext/>
              <w:keepLines/>
              <w:widowControl/>
              <w:spacing w:before="100" w:after="120" w:line="293" w:lineRule="auto"/>
            </w:pPr>
            <w:r>
              <w:rPr>
                <w:rFonts w:ascii="SimHei" w:hAnsi="SimHei" w:eastAsia="SimHei" w:cs="SimHei"/>
                <w:b/>
                <w:color w:val="000000"/>
                <w:sz w:val="21"/>
              </w:rPr>
              <w:t>数据源工况设置</w:t>
            </w:r>
          </w:p>
        </w:tc>
        <w:tc>
          <w:tcPr>
            <w:tcW w:type="dxa" w:w="1584"/>
            <w:vAlign w:val="center"/>
            <w:tcBorders>
              <w:top w:val="single" w:sz="4" w:color="BBCBC5"/>
              <w:left w:val="single" w:sz="4" w:color="BBCBC5"/>
              <w:bottom w:val="single" w:sz="4" w:color="BBCBC5"/>
              <w:right w:val="single" w:sz="4" w:color="BBCBC5"/>
            </w:tcBorders>
            <w:shd w:fill="EDF3EF"/>
          </w:tcPr>
          <w:p>
            <w:pPr>
              <w:keepNext/>
              <w:keepLines/>
              <w:widowControl/>
              <w:spacing w:before="100" w:after="120" w:line="293" w:lineRule="auto"/>
            </w:pPr>
            <w:r>
              <w:rPr>
                <w:rFonts w:ascii="SimHei" w:hAnsi="SimHei" w:eastAsia="SimHei" w:cs="SimHei"/>
                <w:b/>
                <w:color w:val="000000"/>
                <w:sz w:val="21"/>
              </w:rPr>
              <w:t>基础日工况</w:t>
            </w:r>
          </w:p>
        </w:tc>
        <w:tc>
          <w:tcPr>
            <w:tcW w:type="dxa" w:w="1080"/>
            <w:vAlign w:val="center"/>
            <w:tcBorders>
              <w:top w:val="single" w:sz="4" w:color="BBCBC5"/>
              <w:left w:val="single" w:sz="4" w:color="BBCBC5"/>
              <w:bottom w:val="single" w:sz="4" w:color="BBCBC5"/>
              <w:right w:val="single" w:sz="4" w:color="BBCBC5"/>
            </w:tcBorders>
            <w:shd w:fill="EDF3EF"/>
          </w:tcPr>
          <w:p>
            <w:pPr>
              <w:keepNext/>
              <w:keepLines/>
              <w:widowControl/>
              <w:spacing w:before="100" w:after="120" w:line="293" w:lineRule="auto"/>
            </w:pPr>
            <w:r>
              <w:rPr>
                <w:rFonts w:ascii="SimHei" w:hAnsi="SimHei" w:eastAsia="SimHei" w:cs="SimHei"/>
                <w:b/>
                <w:color w:val="000000"/>
                <w:sz w:val="21"/>
              </w:rPr>
              <w:t>正确</w:t>
            </w:r>
          </w:p>
        </w:tc>
        <w:tc>
          <w:tcPr>
            <w:tcW w:type="dxa" w:w="2088"/>
            <w:vAlign w:val="center"/>
            <w:tcBorders>
              <w:top w:val="single" w:sz="4" w:color="BBCBC5"/>
              <w:left w:val="single" w:sz="4" w:color="BBCBC5"/>
              <w:bottom w:val="single" w:sz="4" w:color="BBCBC5"/>
              <w:right w:val="single" w:sz="4" w:color="BBCBC5"/>
            </w:tcBorders>
            <w:shd w:fill="EDF3EF"/>
          </w:tcPr>
          <w:p>
            <w:pPr>
              <w:keepNext/>
              <w:keepLines/>
              <w:widowControl/>
              <w:spacing w:before="100" w:after="120" w:line="293" w:lineRule="auto"/>
            </w:pPr>
            <w:r>
              <w:rPr>
                <w:rFonts w:ascii="SimHei" w:hAnsi="SimHei" w:eastAsia="SimHei" w:cs="SimHei"/>
                <w:b/>
                <w:color w:val="000000"/>
                <w:sz w:val="21"/>
              </w:rPr>
              <w:t>类别召回</w:t>
            </w:r>
          </w:p>
        </w:tc>
      </w:tr>
      <w:tr>
        <w:trPr>
          <w:cantSplit/>
        </w:trPr>
        <w:tc>
          <w:tcPr>
            <w:tcW w:type="dxa" w:w="3384"/>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正常</w:t>
            </w:r>
          </w:p>
        </w:tc>
        <w:tc>
          <w:tcPr>
            <w:tcW w:type="dxa" w:w="1584"/>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14</w:t>
            </w:r>
          </w:p>
        </w:tc>
        <w:tc>
          <w:tcPr>
            <w:tcW w:type="dxa" w:w="1080"/>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0</w:t>
            </w:r>
          </w:p>
        </w:tc>
        <w:tc>
          <w:tcPr>
            <w:tcW w:type="dxa" w:w="208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0%</w:t>
            </w:r>
          </w:p>
        </w:tc>
      </w:tr>
      <w:tr>
        <w:trPr>
          <w:cantSplit/>
        </w:trPr>
        <w:tc>
          <w:tcPr>
            <w:tcW w:type="dxa" w:w="3384"/>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风阀卡滞025</w:t>
            </w:r>
          </w:p>
        </w:tc>
        <w:tc>
          <w:tcPr>
            <w:tcW w:type="dxa" w:w="1584"/>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14</w:t>
            </w:r>
          </w:p>
        </w:tc>
        <w:tc>
          <w:tcPr>
            <w:tcW w:type="dxa" w:w="1080"/>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1</w:t>
            </w:r>
          </w:p>
        </w:tc>
        <w:tc>
          <w:tcPr>
            <w:tcW w:type="dxa" w:w="208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7.14%</w:t>
            </w:r>
          </w:p>
        </w:tc>
      </w:tr>
      <w:tr>
        <w:trPr>
          <w:cantSplit/>
        </w:trPr>
        <w:tc>
          <w:tcPr>
            <w:tcW w:type="dxa" w:w="3384"/>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风阀卡滞075</w:t>
            </w:r>
          </w:p>
        </w:tc>
        <w:tc>
          <w:tcPr>
            <w:tcW w:type="dxa" w:w="1584"/>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14</w:t>
            </w:r>
          </w:p>
        </w:tc>
        <w:tc>
          <w:tcPr>
            <w:tcW w:type="dxa" w:w="1080"/>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11</w:t>
            </w:r>
          </w:p>
        </w:tc>
        <w:tc>
          <w:tcPr>
            <w:tcW w:type="dxa" w:w="208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78.57%</w:t>
            </w:r>
          </w:p>
        </w:tc>
      </w:tr>
      <w:tr>
        <w:trPr>
          <w:cantSplit/>
        </w:trPr>
        <w:tc>
          <w:tcPr>
            <w:tcW w:type="dxa" w:w="3384"/>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盘管阀泄漏</w:t>
            </w:r>
          </w:p>
        </w:tc>
        <w:tc>
          <w:tcPr>
            <w:tcW w:type="dxa" w:w="1584"/>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14</w:t>
            </w:r>
          </w:p>
        </w:tc>
        <w:tc>
          <w:tcPr>
            <w:tcW w:type="dxa" w:w="1080"/>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0</w:t>
            </w:r>
          </w:p>
        </w:tc>
        <w:tc>
          <w:tcPr>
            <w:tcW w:type="dxa" w:w="2088"/>
            <w:vAlign w:val="center"/>
            <w:tcBorders>
              <w:top w:val="single" w:sz="4" w:color="BBCBC5"/>
              <w:left w:val="single" w:sz="4" w:color="BBCBC5"/>
              <w:bottom w:val="single" w:sz="4" w:color="BBCBC5"/>
              <w:right w:val="single" w:sz="4" w:color="BBCBC5"/>
            </w:tcBorders>
          </w:tcPr>
          <w:p>
            <w:pPr>
              <w:keepNext w:val="0"/>
              <w:keepLines w:val="0"/>
              <w:widowControl/>
              <w:spacing w:before="0" w:after="80" w:line="293" w:lineRule="auto"/>
            </w:pPr>
            <w:r>
              <w:rPr>
                <w:rFonts w:ascii="SimSun" w:hAnsi="SimSun" w:eastAsia="SimSun" w:cs="SimSun"/>
                <w:b w:val="0"/>
                <w:color w:val="000000"/>
                <w:sz w:val="21"/>
              </w:rPr>
              <w:t>0%</w:t>
            </w:r>
          </w:p>
        </w:tc>
      </w:tr>
    </w:tbl>
    <w:p>
      <w:pPr>
        <w:keepNext w:val="0"/>
        <w:keepLines w:val="0"/>
        <w:widowControl/>
        <w:spacing w:before="0" w:after="80" w:line="276" w:lineRule="auto"/>
      </w:pPr>
      <w:r>
        <w:rPr>
          <w:rFonts w:ascii="SimSun" w:hAnsi="SimSun" w:eastAsia="SimSun" w:cs="SimSun"/>
          <w:b w:val="0"/>
          <w:color w:val="000000"/>
          <w:sz w:val="22"/>
        </w:rPr>
        <w:t>全部112条的盘管合格窗口为0：16条无稳定运行，86条稳定运行中无零关阀指令，6条未通过等待等条件，4条等待后仅5分钟。因此该批输入不能充分检验正常与泄漏；025中9个基础工况虽落入正常参考包络，也不能据此排除卡滞。上述112条现仅作开发与回归，不能作为新性能留出。已完成的原始CSV演示也不构成新独立准确率证据。</w:t>
      </w:r>
    </w:p>
    <w:p>
      <w:pPr>
        <w:keepNext w:val="0"/>
        <w:keepLines w:val="0"/>
        <w:widowControl/>
        <w:spacing w:before="0" w:after="80" w:line="276" w:lineRule="auto"/>
      </w:pPr>
      <w:r>
        <w:rPr>
          <w:rFonts w:ascii="SimSun" w:hAnsi="SimSun" w:eastAsia="SimSun" w:cs="SimSun"/>
          <w:b w:val="0"/>
          <w:color w:val="000000"/>
          <w:sz w:val="22"/>
        </w:rPr>
        <w:t>可复现的软件交付包括本地工作台、三个演示、原始CSV日片段与来源哈希、映射及导出卡、两项反例修复前后结果和逐例回归记录。网页修改证据或预算调用同一程序重算；完整信息参照获得全部允许证据。查询次数仅为实验记账，现场补采尚未实测，软件耗时不等于人工工时。</w:t>
      </w:r>
    </w:p>
    <w:p>
      <w:pPr>
        <w:keepNext/>
        <w:keepLines/>
        <w:widowControl/>
        <w:spacing w:before="100" w:after="120" w:line="293" w:lineRule="auto"/>
      </w:pPr>
      <w:r>
        <w:rPr>
          <w:rFonts w:ascii="SimHei" w:hAnsi="SimHei" w:eastAsia="SimHei" w:cs="SimHei"/>
          <w:b/>
          <w:color w:val="000000"/>
          <w:sz w:val="28"/>
        </w:rPr>
        <w:t>四、应用前景分析（不超过500字）</w:t>
      </w:r>
    </w:p>
    <w:p>
      <w:pPr>
        <w:keepNext w:val="0"/>
        <w:keepLines w:val="0"/>
        <w:widowControl/>
        <w:spacing w:before="0" w:after="80" w:line="276" w:lineRule="auto"/>
      </w:pPr>
      <w:r>
        <w:rPr>
          <w:rFonts w:ascii="SimSun" w:hAnsi="SimSun" w:eastAsia="SimSun" w:cs="SimSun"/>
          <w:b w:val="0"/>
          <w:color w:val="000000"/>
          <w:sz w:val="22"/>
        </w:rPr>
        <w:t>能智核拟服务于公共建筑管理人员与能源服务团队的异常初筛和复核交接，将“数据是否可信、当前能否检验、接下来补什么”落实为可保存的核查卡。现阶段可用于公开数据教学、规则验证和方案演示；尚不支持任意楼宇数据即接即用。后续价值应通过合法接入真实点位、现场核对和预先冻结的新留出验证确认，再讨论节能机会及商业服务。没有真实部署、付费客户或节能收益证明，亦不以当前候选结论直接控制设备。</w:t>
      </w:r>
    </w:p>
    <w:p>
      <w:pPr>
        <w:keepNext/>
        <w:keepLines/>
        <w:widowControl/>
        <w:spacing w:before="100" w:after="120" w:line="293" w:lineRule="auto"/>
      </w:pPr>
      <w:r>
        <w:rPr>
          <w:rFonts w:ascii="SimHei" w:hAnsi="SimHei" w:eastAsia="SimHei" w:cs="SimHei"/>
          <w:b/>
          <w:color w:val="000000"/>
          <w:sz w:val="24"/>
        </w:rPr>
        <w:t>公开资料来源</w:t>
      </w:r>
    </w:p>
    <w:p>
      <w:pPr>
        <w:keepNext w:val="0"/>
        <w:keepLines w:val="0"/>
        <w:widowControl/>
        <w:spacing w:before="0" w:after="80" w:line="293" w:lineRule="auto"/>
      </w:pPr>
      <w:r>
        <w:rPr>
          <w:rFonts w:ascii="SimSun" w:hAnsi="SimSun" w:eastAsia="SimSun" w:cs="SimSun"/>
          <w:b w:val="0"/>
          <w:color w:val="000000"/>
          <w:sz w:val="18"/>
        </w:rPr>
        <w:t>LBNL FDD 数据与设备说明：fdddata.lbl.gov（SDAHU公开仿真配置）；BDG2：github.com/buds-lab/building-data-genome-project-2。</w:t>
      </w:r>
    </w:p>
    <w:p>
      <w:pPr>
        <w:keepNext w:val="0"/>
        <w:keepLines w:val="0"/>
        <w:widowControl/>
        <w:spacing w:before="0" w:after="80" w:line="293" w:lineRule="auto"/>
      </w:pPr>
      <w:r>
        <w:rPr>
          <w:rFonts w:ascii="SimSun" w:hAnsi="SimSun" w:eastAsia="SimSun" w:cs="SimSun"/>
          <w:b w:val="0"/>
          <w:color w:val="000000"/>
          <w:sz w:val="18"/>
        </w:rPr>
        <w:t>美国能源部《EMIS Primer》：betterbuildingssolutioncenter.energy.gov/sites/default/files/attachments/EMIS_Primer_Organizational_Use.pdf。</w:t>
      </w:r>
    </w:p>
    <w:sectPr>
      <w:footerReference r:id="rId3" w:type="default"/>
      <w:headerReference w:type="default" r:id="rId7"/>
      <w:pgSz w:w="11906" w:h="16838"/>
      <w:pgMar w:top="1440" w:right="1800" w:bottom="1440" w:left="1800" w:header="851" w:footer="992" w:gutter="0"/>
      <w:cols w:space="425" w:num="1"/>
    </w:sectPr>
  </w:body>
</w:document>
</file>

<file path=word/fontTable.xml><?xml version="1.0" encoding="utf-8"?>
<w:fonts xmlns:w="http://schemas.openxmlformats.org/wordprocessingml/2006/main">
  <w:font w:name="SimSun"/>
  <w:font w:name="SimHei"/>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88CFF">
    <w:pPr>
      <w:pStyle w:val="3"/>
      <w:keepNext w:val="0"/>
      <w:keepLines w:val="0"/>
      <w:widowControl/>
      <w:spacing w:before="0" w:after="80" w:line="293" w:lineRule="auto"/>
    </w:pPr>
    <w:r>
      <w:rPr>
        <w:rFonts w:ascii="SimSun" w:hAnsi="SimSun" w:eastAsia="SimSun" w:cs="SimSun"/>
        <w:b w:val="0"/>
        <w:color w:val="000000"/>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FF558">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48FF558">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before="0" w:after="80" w:line="293"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165"/>
    <w:rsid w:val="00031165"/>
    <w:rsid w:val="0037319A"/>
    <w:rsid w:val="005123E3"/>
    <w:rsid w:val="005D78D3"/>
    <w:rsid w:val="005F7FC1"/>
    <w:rsid w:val="006022A5"/>
    <w:rsid w:val="006B55D6"/>
    <w:rsid w:val="00727B81"/>
    <w:rsid w:val="007E416A"/>
    <w:rsid w:val="00971413"/>
    <w:rsid w:val="00B40E5B"/>
    <w:rsid w:val="00C23A47"/>
    <w:rsid w:val="00EF0A52"/>
    <w:rsid w:val="00FA1DE6"/>
    <w:rsid w:val="035E7A16"/>
    <w:rsid w:val="06941DC6"/>
    <w:rsid w:val="19F6DA34"/>
    <w:rsid w:val="1C2838BF"/>
    <w:rsid w:val="1D485456"/>
    <w:rsid w:val="1F6B6AC0"/>
    <w:rsid w:val="1FFFE5BD"/>
    <w:rsid w:val="28CA642A"/>
    <w:rsid w:val="2BDF9E85"/>
    <w:rsid w:val="333FDE2C"/>
    <w:rsid w:val="3F67793C"/>
    <w:rsid w:val="42B0500A"/>
    <w:rsid w:val="4E7E31A0"/>
    <w:rsid w:val="56FBDE94"/>
    <w:rsid w:val="57F3806F"/>
    <w:rsid w:val="5BCF7AD3"/>
    <w:rsid w:val="5D6737D9"/>
    <w:rsid w:val="5F7104CA"/>
    <w:rsid w:val="5FF7D9B7"/>
    <w:rsid w:val="61302E91"/>
    <w:rsid w:val="65E81C09"/>
    <w:rsid w:val="68FE2FAA"/>
    <w:rsid w:val="6AEFC613"/>
    <w:rsid w:val="6C0543DC"/>
    <w:rsid w:val="6C305F8D"/>
    <w:rsid w:val="6D7B6243"/>
    <w:rsid w:val="729F83BF"/>
    <w:rsid w:val="73AFC5D2"/>
    <w:rsid w:val="74EE481B"/>
    <w:rsid w:val="7BE7BF6D"/>
    <w:rsid w:val="7DEB5D9B"/>
    <w:rsid w:val="7EBF4FF9"/>
    <w:rsid w:val="7EF214DF"/>
    <w:rsid w:val="7F3FB076"/>
    <w:rsid w:val="7FA3E9E9"/>
    <w:rsid w:val="7FFC1E6F"/>
    <w:rsid w:val="95F7AE71"/>
    <w:rsid w:val="AFAFA80C"/>
    <w:rsid w:val="BEDDDA19"/>
    <w:rsid w:val="CD9D93A6"/>
    <w:rsid w:val="D2DFB62A"/>
    <w:rsid w:val="D7F3D222"/>
    <w:rsid w:val="D7FF1812"/>
    <w:rsid w:val="DBDD2C26"/>
    <w:rsid w:val="DDC75C74"/>
    <w:rsid w:val="E7DF63B9"/>
    <w:rsid w:val="EFFFCDC6"/>
    <w:rsid w:val="EFFFCFFB"/>
    <w:rsid w:val="F4FFBB93"/>
    <w:rsid w:val="F57B7FA2"/>
    <w:rsid w:val="F9A4F9A6"/>
    <w:rsid w:val="FBA7009F"/>
    <w:rsid w:val="FBDF64D5"/>
    <w:rsid w:val="FBEF3ABD"/>
    <w:rsid w:val="FDEECDC1"/>
    <w:rsid w:val="FDF4B82A"/>
    <w:rsid w:val="FDF7CF12"/>
    <w:rsid w:val="FEFE7C39"/>
    <w:rsid w:val="FF5F2A4D"/>
    <w:rsid w:val="FFE730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imSun" w:hAnsi="SimSun" w:eastAsia="SimSun"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SimSun" w:hAnsi="SimSun" w:eastAsia="SimSun" w:cs="SimSun"/>
      <w:kern w:val="2"/>
      <w:sz w:val="24"/>
      <w:szCs w:val="24"/>
      <w:lang w:val="en-US" w:eastAsia="zh-CN" w:bidi="ar-SA"/>
    </w:rPr>
  </w:style>
  <w:style w:type="character" w:default="1" w:styleId="8">
    <w:name w:val="Default Paragraph Font"/>
    <w:semiHidden/>
    <w:unhideWhenUsed/>
    <w:qFormat/>
    <w:uiPriority w:val="1"/>
    <w:rPr>
      <w:rFonts w:ascii="SimSun" w:hAnsi="SimSun" w:eastAsia="SimSun" w:cs="SimSun"/>
      <w:sz w:val="24"/>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line="360" w:lineRule="auto"/>
      <w:ind w:firstLine="200" w:firstLineChars="200"/>
    </w:pPr>
    <w:rPr>
      <w:rFonts w:ascii="SimSun" w:hAnsi="SimSun" w:eastAsia="SimSun" w:cs="SimSun"/>
      <w:sz w:val="24"/>
      <w:szCs w:val="30"/>
    </w:rPr>
  </w:style>
  <w:style w:type="paragraph" w:styleId="3">
    <w:name w:val="footer"/>
    <w:basedOn w:val="1"/>
    <w:qFormat/>
    <w:uiPriority w:val="0"/>
    <w:pPr>
      <w:tabs>
        <w:tab w:val="center" w:pos="4153"/>
        <w:tab w:val="right" w:pos="8306"/>
      </w:tabs>
      <w:snapToGrid w:val="0"/>
      <w:jc w:val="left"/>
    </w:pPr>
    <w:rPr>
      <w:rFonts w:ascii="SimSun" w:hAnsi="SimSun" w:eastAsia="SimSun" w:cs="SimSun"/>
      <w:sz w:val="24"/>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SimSun" w:hAnsi="SimSun" w:eastAsia="SimSun" w:cs="SimSun"/>
      <w:sz w:val="24"/>
    </w:rPr>
  </w:style>
  <w:style w:type="paragraph" w:styleId="5">
    <w:name w:val="Normal (Web)"/>
    <w:basedOn w:val="1"/>
    <w:qFormat/>
    <w:uiPriority w:val="0"/>
    <w:pPr>
      <w:spacing w:beforeAutospacing="1" w:afterAutospacing="1"/>
      <w:jc w:val="left"/>
    </w:pPr>
    <w:rPr>
      <w:rFonts w:ascii="SimSun" w:hAnsi="SimSun" w:eastAsia="SimSun" w:cs="SimSun"/>
      <w:kern w:val="0"/>
      <w:sz w:val="24"/>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9">
    <w:name w:val="Hyperlink"/>
    <w:basedOn w:val="8"/>
    <w:qFormat/>
    <w:uiPriority w:val="0"/>
    <w:rPr>
      <w:rFonts w:ascii="SimSun" w:hAnsi="SimSun" w:eastAsia="SimSun" w:cs="SimSun"/>
      <w:color w:val="0000FF"/>
      <w:sz w:val="24"/>
      <w:u w:val="single"/>
    </w:rPr>
  </w:style>
  <w:style w:type="character" w:customStyle="1" w:styleId="10">
    <w:name w:val="10"/>
    <w:basedOn w:val="8"/>
    <w:qFormat/>
    <w:uiPriority w:val="0"/>
    <w:rPr>
      <w:rFonts w:ascii="SimSun" w:hAnsi="SimSun" w:eastAsia="SimSun" w:cs="SimSun"/>
      <w:sz w:val="24"/>
    </w:rPr>
  </w:style>
  <w:style w:type="character" w:customStyle="1" w:styleId="11">
    <w:name w:val="15"/>
    <w:basedOn w:val="8"/>
    <w:qFormat/>
    <w:uiPriority w:val="0"/>
    <w:rPr>
      <w:rFonts w:ascii="SimSun" w:hAnsi="SimSun" w:eastAsia="SimSun" w:cs="SimSun"/>
      <w:b/>
      <w:sz w:val="24"/>
    </w:rPr>
  </w:style>
  <w:style w:type="paragraph" w:customStyle="1" w:styleId="12">
    <w:name w:val="指南标题3"/>
    <w:qFormat/>
    <w:uiPriority w:val="0"/>
    <w:pPr>
      <w:keepNext/>
      <w:keepLines/>
      <w:widowControl w:val="0"/>
      <w:spacing w:line="360" w:lineRule="auto"/>
      <w:outlineLvl w:val="2"/>
    </w:pPr>
    <w:rPr>
      <w:rFonts w:ascii="SimSun" w:hAnsi="SimSun" w:eastAsia="SimSun" w:cs="SimSun"/>
      <w:b/>
      <w:color w:val="000000"/>
      <w:kern w:val="2"/>
      <w:sz w:val="24"/>
      <w:szCs w:val="32"/>
      <w:lang w:val="en-US" w:eastAsia="zh-CN" w:bidi="ar-SA"/>
    </w:rPr>
  </w:style>
  <w:style w:type="paragraph" w:customStyle="1" w:styleId="13">
    <w:name w:val="Table Text"/>
    <w:basedOn w:val="1"/>
    <w:hidden/>
    <w:qFormat/>
    <w:uiPriority w:val="0"/>
    <w:pPr>
      <w:spacing w:before="127" w:line="360" w:lineRule="auto"/>
      <w:jc w:val="center"/>
    </w:pPr>
    <w:rPr>
      <w:rFonts w:ascii="SimSun" w:hAnsi="SimSun" w:eastAsia="SimSun" w:cs="SimSun"/>
      <w:sz w:val="24"/>
      <w:szCs w:val="28"/>
    </w:rPr>
  </w:style>
  <w:style w:type="paragraph" w:customStyle="1" w:styleId="14">
    <w:name w:val="指南标题2"/>
    <w:qFormat/>
    <w:uiPriority w:val="0"/>
    <w:pPr>
      <w:keepNext/>
      <w:keepLines/>
      <w:widowControl w:val="0"/>
      <w:spacing w:line="360" w:lineRule="auto"/>
      <w:outlineLvl w:val="1"/>
    </w:pPr>
    <w:rPr>
      <w:rFonts w:ascii="SimSun" w:hAnsi="SimSun" w:eastAsia="SimSun" w:cs="SimSun"/>
      <w:b/>
      <w:color w:val="000000"/>
      <w:kern w:val="2"/>
      <w:sz w:val="24"/>
      <w:szCs w:val="32"/>
      <w:lang w:val="en-US" w:eastAsia="zh-CN" w:bidi="ar-SA"/>
    </w:rPr>
  </w:style>
  <w:style w:type="character" w:customStyle="1" w:styleId="15">
    <w:name w:val="17"/>
    <w:basedOn w:val="8"/>
    <w:qFormat/>
    <w:uiPriority w:val="0"/>
    <w:rPr>
      <w:rFonts w:ascii="SimSun" w:hAnsi="SimSun" w:eastAsia="SimSun" w:cs="SimSun"/>
      <w:color w:val="FF0000"/>
      <w:sz w:val="24"/>
      <w:szCs w:val="24"/>
    </w:rPr>
  </w:style>
  <w:style w:type="character" w:customStyle="1" w:styleId="16">
    <w:name w:val="18"/>
    <w:basedOn w:val="8"/>
    <w:qFormat/>
    <w:uiPriority w:val="0"/>
    <w:rPr>
      <w:rFonts w:ascii="SimSun" w:hAnsi="SimSun" w:eastAsia="SimSun" w:cs="SimSun"/>
      <w:color w:val="0070C0"/>
      <w:sz w:val="24"/>
      <w:szCs w:val="22"/>
    </w:rPr>
  </w:style>
  <w:style w:type="character" w:customStyle="1" w:styleId="17">
    <w:name w:val="16"/>
    <w:basedOn w:val="8"/>
    <w:qFormat/>
    <w:uiPriority w:val="0"/>
    <w:rPr>
      <w:rFonts w:ascii="SimSun" w:hAnsi="SimSun" w:eastAsia="SimSun" w:cs="SimSun"/>
      <w:color w:val="800080"/>
      <w:sz w:val="24"/>
      <w:u w:val="single"/>
    </w:rPr>
  </w:style>
  <w:style w:type="paragraph" w:customStyle="1" w:styleId="18">
    <w:name w:val="正文-公1"/>
    <w:basedOn w:val="1"/>
    <w:qFormat/>
    <w:uiPriority w:val="0"/>
    <w:pPr>
      <w:spacing w:line="360" w:lineRule="auto"/>
      <w:ind w:firstLine="200" w:firstLineChars="200"/>
    </w:pPr>
    <w:rPr>
      <w:rFonts w:ascii="SimSun" w:hAnsi="SimSun" w:eastAsia="SimSun" w:cs="SimSun"/>
      <w:sz w:val="24"/>
      <w:szCs w:val="32"/>
    </w:rPr>
  </w:style>
  <w:style w:type="paragraph" w:customStyle="1" w:styleId="19">
    <w:name w:val="指南标题1"/>
    <w:qFormat/>
    <w:uiPriority w:val="0"/>
    <w:pPr>
      <w:keepNext/>
      <w:keepLines/>
      <w:widowControl w:val="0"/>
      <w:spacing w:after="120" w:line="360" w:lineRule="auto"/>
      <w:jc w:val="center"/>
      <w:outlineLvl w:val="0"/>
    </w:pPr>
    <w:rPr>
      <w:rFonts w:ascii="SimSun" w:hAnsi="SimSun" w:eastAsia="SimSun" w:cs="SimSun"/>
      <w:b/>
      <w:color w:val="000000"/>
      <w:kern w:val="44"/>
      <w:sz w:val="24"/>
      <w:szCs w:val="36"/>
      <w:lang w:val="en-US" w:eastAsia="zh-CN" w:bidi="ar-SA"/>
    </w:rPr>
  </w:style>
  <w:style w:type="paragraph" w:customStyle="1" w:styleId="20">
    <w:name w:val="指南标题"/>
    <w:basedOn w:val="1"/>
    <w:qFormat/>
    <w:uiPriority w:val="0"/>
    <w:pPr>
      <w:spacing w:line="360" w:lineRule="auto"/>
      <w:ind w:left="1433" w:hanging="1433" w:hangingChars="398"/>
      <w:jc w:val="center"/>
    </w:pPr>
    <w:rPr>
      <w:rFonts w:ascii="SimSun" w:hAnsi="SimSun" w:eastAsia="SimSun" w:cs="SimSun"/>
      <w:sz w:val="24"/>
      <w:szCs w:val="36"/>
    </w:rPr>
  </w:style>
  <w:style w:type="table" w:customStyle="1" w:styleId="21">
    <w:name w:val="Table Normal1"/>
    <w:basedOn w:val="6"/>
    <w:qFormat/>
    <w:uiPriority w:val="0"/>
    <w:tblPr>
      <w:tblCellMar>
        <w:left w:w="0" w:type="dxa"/>
        <w:right w:w="0" w:type="dxa"/>
      </w:tblCellMar>
    </w:tblPr>
  </w:style>
  <w:style w:type="character" w:customStyle="1" w:styleId="22">
    <w:name w:val="font61"/>
    <w:basedOn w:val="8"/>
    <w:autoRedefine/>
    <w:qFormat/>
    <w:uiPriority w:val="0"/>
    <w:rPr>
      <w:rFonts w:ascii="SimSun" w:hAnsi="SimSun" w:eastAsia="SimSun" w:cs="SimSun"/>
      <w:color w:val="FF0000"/>
      <w:sz w:val="24"/>
      <w:szCs w:val="24"/>
      <w:u w:val="none"/>
    </w:rPr>
  </w:style>
  <w:style w:type="character" w:customStyle="1" w:styleId="23">
    <w:name w:val="font31"/>
    <w:basedOn w:val="8"/>
    <w:autoRedefine/>
    <w:qFormat/>
    <w:uiPriority w:val="0"/>
    <w:rPr>
      <w:rFonts w:ascii="SimSun" w:hAnsi="SimSun" w:eastAsia="SimSun" w:cs="SimSun"/>
      <w:color w:val="0070C0"/>
      <w:sz w:val="24"/>
      <w:szCs w:val="22"/>
      <w:u w:val="none"/>
    </w:rPr>
  </w:style>
  <w:style w:type="paragraph" w:customStyle="1" w:styleId="24">
    <w:name w:val="Revision"/>
    <w:hidden/>
    <w:unhideWhenUsed/>
    <w:qFormat/>
    <w:uiPriority w:val="99"/>
    <w:rPr>
      <w:rFonts w:ascii="SimSun" w:hAnsi="SimSun" w:eastAsia="SimSun" w:cs="SimSun"/>
      <w:kern w:val="2"/>
      <w:sz w:val="24"/>
      <w:szCs w:val="24"/>
      <w:lang w:val="en-US" w:eastAsia="zh-CN" w:bidi="ar-SA"/>
    </w:rPr>
  </w:style>
  <w:style w:type="paragraph" w:customStyle="1" w:styleId="Title">
    <w:name w:val="Title"/>
    <w:rPr>
      <w:rFonts w:ascii="SimSun" w:hAnsi="SimSun" w:eastAsia="SimSun" w:cs="SimSun"/>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Office Open XML</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2025-06-04T12:42:00Z</dcterms:created>
  <dc:creator/>
  <cp:lastModifiedBy/>
  <dcterms:modified xsi:type="dcterms:W3CDTF">2026-06-26T10:42:11Z</dcterms:modified>
  <cp:revision>2</cp:revision>
  <dc:title>能智核——公共建筑用能异常核验工作台</dc:title>
  <dc:subject>智慧能源与环境</dc:subject>
  <dc:description/>
</cp:coreProperties>
</file>