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71D61C">
      <w:pPr>
        <w:spacing w:line="360" w:lineRule="auto"/>
        <w:ind w:left="836" w:hanging="1114" w:hangingChars="398"/>
        <w:jc w:val="left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</w:rPr>
        <w:t>附件</w:t>
      </w:r>
      <w:r>
        <w:rPr>
          <w:rFonts w:ascii="Times New Roman" w:hAnsi="Times New Roman" w:eastAsia="仿宋" w:cs="Times New Roman"/>
          <w:sz w:val="28"/>
          <w:szCs w:val="28"/>
        </w:rPr>
        <w:t>2</w:t>
      </w:r>
      <w:r>
        <w:rPr>
          <w:rFonts w:hint="eastAsia" w:ascii="Times New Roman" w:hAnsi="Times New Roman" w:eastAsia="仿宋" w:cs="Times New Roman"/>
          <w:sz w:val="28"/>
          <w:szCs w:val="28"/>
        </w:rPr>
        <w:t>：</w:t>
      </w:r>
    </w:p>
    <w:p w14:paraId="38308DFF">
      <w:pPr>
        <w:widowControl/>
        <w:spacing w:line="360" w:lineRule="auto"/>
        <w:jc w:val="center"/>
        <w:rPr>
          <w:rFonts w:ascii="方正小标宋简体" w:hAnsi="方正小标宋简体" w:eastAsia="方正小标宋简体" w:cs="方正小标宋简体"/>
          <w:sz w:val="36"/>
          <w:szCs w:val="36"/>
        </w:rPr>
      </w:pPr>
      <w:bookmarkStart w:id="0" w:name="_Toc479323114"/>
      <w:bookmarkStart w:id="1" w:name="_Toc479323335"/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第</w:t>
      </w:r>
      <w:r>
        <w:rPr>
          <w:rFonts w:hint="eastAsia" w:ascii="方正小标宋简体" w:hAnsi="方正小标宋简体" w:eastAsia="方正小标宋简体" w:cs="方正小标宋简体"/>
          <w:sz w:val="36"/>
          <w:szCs w:val="36"/>
          <w:lang w:eastAsia="zh-Hans"/>
        </w:rPr>
        <w:t>十二</w:t>
      </w:r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届中国研究生智慧城市技术与创意设计大赛</w:t>
      </w:r>
      <w:bookmarkEnd w:id="0"/>
      <w:bookmarkEnd w:id="1"/>
      <w:bookmarkStart w:id="2" w:name="_Toc479323115"/>
      <w:bookmarkStart w:id="3" w:name="_Toc479323336"/>
    </w:p>
    <w:p w14:paraId="5E124335">
      <w:pPr>
        <w:spacing w:line="360" w:lineRule="auto"/>
        <w:ind w:left="210" w:leftChars="100" w:right="210" w:rightChars="100"/>
        <w:jc w:val="center"/>
        <w:rPr>
          <w:rFonts w:ascii="方正小标宋简体" w:hAnsi="方正小标宋简体" w:eastAsia="方正小标宋简体" w:cs="方正小标宋简体"/>
          <w:sz w:val="36"/>
          <w:szCs w:val="36"/>
        </w:rPr>
      </w:pPr>
      <w:bookmarkStart w:id="4" w:name="_Toc108088508"/>
      <w:bookmarkStart w:id="5" w:name="_Toc7210847"/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创意设计赛</w:t>
      </w:r>
      <w:bookmarkEnd w:id="2"/>
      <w:bookmarkEnd w:id="3"/>
      <w:bookmarkStart w:id="6" w:name="_Toc479323337"/>
      <w:bookmarkStart w:id="7" w:name="_Toc479323116"/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项目说明书</w:t>
      </w:r>
      <w:bookmarkEnd w:id="4"/>
      <w:bookmarkEnd w:id="5"/>
      <w:bookmarkEnd w:id="6"/>
      <w:bookmarkEnd w:id="7"/>
    </w:p>
    <w:p w14:paraId="76EB37B1">
      <w:pPr>
        <w:widowControl/>
        <w:spacing w:line="360" w:lineRule="auto"/>
        <w:jc w:val="center"/>
        <w:rPr>
          <w:rFonts w:ascii="Times New Roman" w:hAnsi="Times New Roman" w:eastAsia="仿宋" w:cs="Times New Roman"/>
          <w:sz w:val="28"/>
          <w:szCs w:val="36"/>
        </w:rPr>
      </w:pPr>
      <w:r>
        <w:rPr>
          <w:rFonts w:hint="eastAsia" w:ascii="Times New Roman" w:hAnsi="Times New Roman" w:eastAsia="仿宋" w:cs="Times New Roman"/>
          <w:sz w:val="28"/>
          <w:szCs w:val="36"/>
          <w:color w:val="000000"/>
        </w:rPr>
        <w:t xml:space="preserve">乡艺有据——可信非遗体验编排智能体</w:t>
      </w:r>
    </w:p>
    <w:p w14:paraId="3E1A4D6B">
      <w:pPr>
        <w:widowControl/>
        <w:snapToGrid w:val="0"/>
        <w:spacing w:line="360" w:lineRule="auto"/>
        <w:rPr>
          <w:rFonts w:ascii="Times New Roman" w:hAnsi="Times New Roman" w:eastAsia="仿宋" w:cs="Times New Roman"/>
          <w:b/>
          <w:sz w:val="28"/>
          <w:szCs w:val="28"/>
        </w:rPr>
      </w:pPr>
    </w:p>
    <w:p w14:paraId="32E7B382">
      <w:pPr>
        <w:widowControl/>
        <w:snapToGrid w:val="0"/>
        <w:spacing w:line="360" w:lineRule="auto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hint="eastAsia" w:ascii="Times New Roman" w:hAnsi="Times New Roman" w:eastAsia="仿宋" w:cs="Times New Roman"/>
          <w:b/>
          <w:sz w:val="28"/>
          <w:szCs w:val="28"/>
        </w:rPr>
        <w:t>一、立项依据</w:t>
      </w:r>
      <w:r>
        <w:rPr>
          <w:rFonts w:hint="eastAsia" w:ascii="Times New Roman" w:hAnsi="Times New Roman" w:eastAsia="仿宋" w:cs="Times New Roman"/>
          <w:sz w:val="28"/>
          <w:szCs w:val="28"/>
        </w:rPr>
        <w:t>（不超过</w:t>
      </w:r>
      <w:r>
        <w:rPr>
          <w:rFonts w:ascii="Times New Roman" w:hAnsi="Times New Roman" w:eastAsia="仿宋" w:cs="Times New Roman"/>
          <w:sz w:val="28"/>
          <w:szCs w:val="28"/>
        </w:rPr>
        <w:t>2000</w:t>
      </w:r>
      <w:r>
        <w:rPr>
          <w:rFonts w:hint="eastAsia" w:ascii="Times New Roman" w:hAnsi="Times New Roman" w:eastAsia="仿宋" w:cs="Times New Roman"/>
          <w:sz w:val="28"/>
          <w:szCs w:val="28"/>
        </w:rPr>
        <w:t>字）</w:t>
      </w:r>
    </w:p>
    <w:p w14:paraId="20B01077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乡艺有据面向乡村非遗体验活动的组织者，解决从文化资料到实际接待之间的衔接问题。输入一段讲解文案、游客需求和接待条件，输出有出处的讲解、可核算的活动方案，以及分别面向游客和组织者的体验包。首个案例限定为蔚县剪纸、同场地、小规模接待，以丰宁满族剪纸作为地域知识对照，避免在缺少地方资料和人员资源时宣称覆盖全国非遗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公开资料能够说明某地工艺特点，但不能证明某位传承人本周到场、某工坊无需预约或某图片已获商用授权。中国非物质文化遗产网的蔚县剪纸项目页记载其以阴刻为主、阳刻为辅及多色点染彩绘；丰宁满族剪纸项目页记载其以阳刻为主、阴刻为辅。二者差异说明核验必须保留地域，不能把相近项目的文字互换，也不能把地域差异误报为同一资料冲突。[1][2]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本项目把用户需求、文化事实和经营承诺放在不同的判断路径中。文化事实需要可靠来源；经营承诺需要接待方及授权记录；用户需求需要与人数、预算、时长和资源共同求解。对于亲子体验，讲解还需由事实转化为容易理解的观察与提问，同时避免编造象征寓意、历史故事或制作规矩。这个衔接点构成项目的创意来源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在技术基础上，本项目已实际使用无需微调的本地模型和开源工作流组件，完成检索、校验、人工确认及导出。大模型具备文本理解和表达能力，仍可能混淆时长、曲解明确偏好或补出无据断言，因此可计算的业务条件交由程序处理。当前国内外产品及研究的系统对比、目标使用者访谈与市场规模证据待补；本文不据此宣称技术领先、市场空白或已得到客户认可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jc w:val="left"/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资料依据：[1]中国非物质文化遗产网《剪纸（蔚县剪纸）》项目页，https://www.ihchina.cn/project_details/20184.html；[2]同站《剪纸（丰宁满族剪纸）》项目页，https://www.ihchina.cn/project_details/20183.html。入库核对日期为2026年9月30日，原文位置与使用说明随核验记录保存。网页未标注发布时间的条目不补造日期，公开事实不等于图片转载或商业服务许可。</w:t>
      </w:r>
    </w:p>
    <w:p w14:paraId="77AED8AD">
      <w:pPr>
        <w:widowControl/>
        <w:snapToGrid w:val="0"/>
        <w:spacing w:line="360" w:lineRule="auto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hint="eastAsia" w:ascii="Times New Roman" w:hAnsi="Times New Roman" w:eastAsia="仿宋" w:cs="Times New Roman"/>
          <w:b/>
          <w:sz w:val="28"/>
          <w:szCs w:val="28"/>
        </w:rPr>
        <w:t>二、项目创新内容</w:t>
      </w:r>
      <w:r>
        <w:rPr>
          <w:rFonts w:hint="eastAsia" w:ascii="Times New Roman" w:hAnsi="Times New Roman" w:eastAsia="仿宋" w:cs="Times New Roman"/>
          <w:sz w:val="28"/>
          <w:szCs w:val="28"/>
        </w:rPr>
        <w:t>（不超过</w:t>
      </w:r>
      <w:r>
        <w:rPr>
          <w:rFonts w:ascii="Times New Roman" w:hAnsi="Times New Roman" w:eastAsia="仿宋" w:cs="Times New Roman"/>
          <w:sz w:val="28"/>
          <w:szCs w:val="28"/>
        </w:rPr>
        <w:t>3000</w:t>
      </w:r>
      <w:r>
        <w:rPr>
          <w:rFonts w:hint="eastAsia" w:ascii="Times New Roman" w:hAnsi="Times New Roman" w:eastAsia="仿宋" w:cs="Times New Roman"/>
          <w:sz w:val="28"/>
          <w:szCs w:val="28"/>
        </w:rPr>
        <w:t>字）</w:t>
      </w:r>
    </w:p>
    <w:p w14:paraId="3F8F2776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1．</w:t>
      </w:r>
      <w:r>
        <w:rPr>
          <w:rFonts w:hint="eastAsia" w:ascii="Times New Roman" w:hAnsi="Times New Roman" w:eastAsia="仿宋" w:cs="Times New Roman"/>
          <w:sz w:val="28"/>
          <w:szCs w:val="28"/>
        </w:rPr>
        <w:t>项目总体思路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总体思路是将“说得可信”和“做得可行”连在一起。文化资料层保存地域、项目、原文位置、时间、使用说明、版本及摘要哈希；经营配置层独立保存模块报价、必要时长、教师、场地、容量与演示标识。二者通过经过校验的讲解卡和活动方案发生关联，文化证据不能修改经营价格，模型建议不能越过人员或授权约束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智能体安排本地模型理解和拆解，调用带地域的检索工具和确定性求解工具，依据证据或业务冲突决定修订、询问或停止。用户先看到原文、修订及对应出处，再看到活动组合、差异、账本和包预览；确认之后才形成可下载交付物。每一次确认都绑定来源、素材、方案及教学内容的有效快照。</w:t>
      </w:r>
    </w:p>
    <w:p w14:paraId="6B1AD3D8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2．</w:t>
      </w:r>
      <w:r>
        <w:rPr>
          <w:rFonts w:hint="eastAsia" w:ascii="Times New Roman" w:hAnsi="Times New Roman" w:eastAsia="仿宋" w:cs="Times New Roman"/>
          <w:sz w:val="28"/>
          <w:szCs w:val="28"/>
        </w:rPr>
        <w:t>可行性分析：项目的技术或实施可行性。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已有基础为原生三页前端、FastAPI接口、SQLite任务与版本记录、LangGraph工作流、Ollama及官方Qwen3-14B Q4_K_M本地权重。运行隔离环境，不接付费模型API、不启用收费追踪服务。软件无需新增模型调用费，但硬件、电力、人工整理及维护仍有成本，不将“本地免费推理”写成零成本经营。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现有经营演示提供八个同场地模块、必要时长与资源边界，程序可枚举64个结构合法组合后筛选；原八人轻体验784元/90分钟、深体验1080元/120分钟保留。本轮真实界面中，将人均预算改为110元，并确认“不要茶歇、多留手作时间”的偏好后，手作由50增至80分钟，方案由720元/90分钟变为796元/100分钟，仍在880元总预算内。地域纠错、素材撤回后的双版更新及超容量阻断也已实际运行。以上报价均为演示，原型记录不证明真实场地安全、服务质量或商业收益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旧六条首次内部验收仅2条完全符合预期，失败原样保留；修复后的回归6条符合预期。2026年10月3日，另24条未用于调试的新输入首跑：有界流程在完整交付、必要确认、具体正确拒绝三类分别为12/12、6/6、5/6，同条件固定流程为10/12、5/6、3/6。有界流程交付题没有过度拒绝，但共调用模型98次，固定流程78次；各24次混合任务的耗时中位数为4.523秒、2.209秒，不宣称同算力或速度优势。新例仍暴露“总时间两小时”作用域识别失败，保留记录，不再按新题调试。这是同一协作团队的小规模内部验证，不称独立第三方评测或通用准确率。上述结果对应冻结实现；其后补充教学审核否定结论的程序门禁，仅作程序检查，未重跑这24条，不能用旧分数证明补丁效果。</w:t>
      </w:r>
    </w:p>
    <w:p w14:paraId="4F2E3F0A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3．</w:t>
      </w:r>
      <w:r>
        <w:rPr>
          <w:rFonts w:hint="eastAsia" w:ascii="Times New Roman" w:hAnsi="Times New Roman" w:eastAsia="仿宋" w:cs="Times New Roman"/>
          <w:sz w:val="28"/>
          <w:szCs w:val="28"/>
        </w:rPr>
        <w:t>本项目的特色与创新之处。</w:t>
      </w:r>
      <w:r>
        <w:rPr>
          <w:rFonts w:ascii="Times New Roman" w:hAnsi="Times New Roman" w:eastAsia="仿宋" w:cs="Times New Roman"/>
          <w:sz w:val="28"/>
          <w:szCs w:val="28"/>
        </w:rPr>
        <w:t xml:space="preserve"> 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一是以地域和使用边界约束内容生成。核验显示来源支持、矛盾、资料分歧和信息不足四种结果，支持定位到原文；未检索到的陈述保留不足状态，不使用虚假的可信百分比。改写后的文化内容需要重新核验，游客内容不夹带未经证实的经营承诺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二是将自然语言偏好落实到可复算的活动变化。将手作时长与总时长分开表示，人数、预算等与表单不一致时要求确认；可计算的明确偏好由程序对可行候选排序，模型负责理解、表达和必要的修订选择。无可行组合时列出具体预算、时长、容量或教师冲突，不能私自降人数、改报价、缩短必要环节或虚构并行接待。当前效果及未通过用例以本轮留存实测记录为准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三是把非遗知识转化为可审核的体验教学。对一般游客和亲子客群生成短讲解、观察任务和互动提问，区分引用事实与教学创意；生成后检查新文化断言及活动边界。来源、陈述、讲解卡和体验方案相互关联，素材撤回后能找到受影响内容、撤销旧确认，并重新形成双版体验包。创新主张是上述应用方法与实现，不将外部模型或官方文化文章认定为团队原创。</w:t>
      </w:r>
    </w:p>
    <w:p w14:paraId="48310B99">
      <w:pPr>
        <w:widowControl/>
        <w:snapToGrid w:val="0"/>
        <w:spacing w:line="360" w:lineRule="auto"/>
        <w:rPr>
          <w:rFonts w:ascii="Times New Roman" w:hAnsi="Times New Roman" w:eastAsia="仿宋" w:cs="Times New Roman"/>
          <w:b/>
          <w:sz w:val="28"/>
          <w:szCs w:val="28"/>
        </w:rPr>
        <w:keepNext/>
      </w:pPr>
      <w:r>
        <w:rPr>
          <w:rFonts w:hint="eastAsia" w:ascii="Times New Roman" w:hAnsi="Times New Roman" w:eastAsia="仿宋" w:cs="Times New Roman"/>
          <w:b/>
          <w:sz w:val="28"/>
          <w:szCs w:val="28"/>
        </w:rPr>
        <w:t>三、实施方案</w:t>
      </w:r>
      <w:r>
        <w:rPr>
          <w:rFonts w:hint="eastAsia" w:ascii="Times New Roman" w:hAnsi="Times New Roman" w:eastAsia="仿宋" w:cs="Times New Roman"/>
          <w:sz w:val="28"/>
          <w:szCs w:val="28"/>
        </w:rPr>
        <w:t>（不超过</w:t>
      </w:r>
      <w:r>
        <w:rPr>
          <w:rFonts w:ascii="Times New Roman" w:hAnsi="Times New Roman" w:eastAsia="仿宋" w:cs="Times New Roman"/>
          <w:sz w:val="28"/>
          <w:szCs w:val="28"/>
        </w:rPr>
        <w:t>3000</w:t>
      </w:r>
      <w:r>
        <w:rPr>
          <w:rFonts w:hint="eastAsia" w:ascii="Times New Roman" w:hAnsi="Times New Roman" w:eastAsia="仿宋" w:cs="Times New Roman"/>
          <w:sz w:val="28"/>
          <w:szCs w:val="28"/>
        </w:rPr>
        <w:t>字）</w:t>
      </w:r>
    </w:p>
    <w:p w14:paraId="2432FBDC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1．输入与理解。工作人员填写地域、项目、人数、人均预算、总时长、开始时间及接待资源，粘贴讲解文案和活动偏好。拆解时保留原文及句段位置，避免修订后失去对应关系。文字与表单冲突时展示具体字段；用户选择采纳文字或保留表单后，系统依据明确条件重新运行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2．证据检索与核验。仅从可用来源快照按地域、项目及陈述查询。每项判断附来源标识、理由和定位；矛盾项可提出改写，再核验其证据支持。文化资料作为数据传入模型，资料中夹带的命令不能获得执行权限。检索不足、资料分歧及不明使用范围交由人工补证，不以模型流畅回答替代证据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3．活动求解与修订。各模块预先配置报价、最短必要时长、适用客群、互斥与依赖关系、教师和场地要求。程序枚举、筛选并排序候选，以整数分形成账本，以连续时间段安排日程，同时检查容量与资源占用。模型只能使用工具提供的配置和候选。一次任务模型调用最多8次，方案修订最多2轮；不可行时说明冲突并等待必要输入，超出上限或模型故障如实停止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4．分众教学与双版交付。仅以通过核验的事实及已校验活动为依据编写短讲解、观察任务和提问，再扫描文化前提与活动范围。游客版突出看什么、做什么、问什么、何时集合以及必要提醒；组织者版增加接待资源、账目、日程、证据位置、原文修订和使用边界。两版共用同一方案，不能出现计划与文案不一致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5．确认与更新。预览不等于确认。人工确认绑定方案和来源版本；正式导出再次复算金额、时间与资源，检查教学及素材状态。资料或素材状态变化使相关任务及旧确认失效，显示受影响关联；用户重新核验、确认后再导出。已下载的离线文件不会自动改写，应由组织者停止使用旧版本并分发新版本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6．验证方法。旧六例保留首次失败并转为回归；另24条新输入在实现冻结后首次运行，覆盖换说法、复合陈述和约束冲突，分别报告完整交付、必要确认和正确拒绝，不以多拒绝充当成功。固定流程沿用相同模型、来源与工具，共执行48个成对任务，保存输入哈希、版本、逐项输出、失败、调用数及耗时。两组均没有将应确认或应拒绝题误放行；有界流程仍有1条未给出预期的具体冲突。该对照不控制相同调用数，只支持本批任务结论，不外推为独立评测或普遍优势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7．现场呈现。保留乡土发现、可信内容工坊、体验与共益三页，优先展示“改一句话，方案真变化”：修改地域事实，看到逐项纠错及证据；改变预算和偏好，看到真实模块、手作分钟与金额变化；撤回素材，看到失效提示和更新后的双版包。运行状态来自真实事件，历史回放和演示经营数据持续标识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8．保护与共益。文化特色由有来源的地域描述和人工复核保留；教学创意不替代传统工艺认定。账本将讲解、手作教学等在地服务报酬与材料、组织费用分列，支持服务方协商，当前没有真实付款或村民净增收证据。活动说明展示纸材数量及工具复用要求；尚未测量纸张节约、能耗或减排，不填写生态成效百分比。</w:t>
      </w:r>
    </w:p>
    <w:p w14:paraId="5EEC48CD">
      <w:pPr>
        <w:widowControl/>
        <w:snapToGrid w:val="0"/>
        <w:spacing w:line="360" w:lineRule="auto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hint="eastAsia" w:ascii="Times New Roman" w:hAnsi="Times New Roman" w:eastAsia="仿宋" w:cs="Times New Roman"/>
          <w:b/>
          <w:sz w:val="28"/>
          <w:szCs w:val="28"/>
        </w:rPr>
        <w:t>四、应用前景分析</w:t>
      </w:r>
      <w:r>
        <w:rPr>
          <w:rFonts w:hint="eastAsia" w:ascii="Times New Roman" w:hAnsi="Times New Roman" w:eastAsia="仿宋" w:cs="Times New Roman"/>
          <w:sz w:val="28"/>
          <w:szCs w:val="28"/>
        </w:rPr>
        <w:t>（不超过</w:t>
      </w:r>
      <w:r>
        <w:rPr>
          <w:rFonts w:ascii="Times New Roman" w:hAnsi="Times New Roman" w:eastAsia="仿宋" w:cs="Times New Roman"/>
          <w:sz w:val="28"/>
          <w:szCs w:val="28"/>
        </w:rPr>
        <w:t>500</w:t>
      </w:r>
      <w:r>
        <w:rPr>
          <w:rFonts w:hint="eastAsia" w:ascii="Times New Roman" w:hAnsi="Times New Roman" w:eastAsia="仿宋" w:cs="Times New Roman"/>
          <w:sz w:val="28"/>
          <w:szCs w:val="28"/>
        </w:rPr>
        <w:t>字）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优先面向有固定场地和小规模接待能力的乡村工坊、研学组织者及文旅服务机构。初期以一个地区、一个项目、有限模块建立资料和经营配置，验证工作人员是否能独立完成纠错、重排、确认和包更新，再评估扩展相邻场地或其他非遗项目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  <w:color w:val="000000"/>
        </w:rPr>
        <w:t xml:space="preserve">预期价值是降低文化内容混用与活动条件失配的风险，帮助游客理解乡土特色，并使在地服务报酬更清楚。扩展须由当地文化人员核对事实、经营者核对流程、权利人明确素材边界；每个新增地区需独立补齐资料与资源，不能复制旧项目价格和授权。实际合作、付费意愿、可用性、收入影响及生态效果均待验证，现阶段不承诺规模化收益。</w:t>
      </w: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  <w:embedRegular r:id="rId1" w:fontKey="{CE049972-3873-4AB5-9E06-49CFC9EB777D}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方正黑体_GBK">
    <w:altName w:val="微软雅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方正小标宋简体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2" w:fontKey="{65EDA0BA-F9EB-4E89-9BB7-EE2D8C3D8048}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288CFF">
    <w:pPr>
      <w:pStyle w:val="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8FF558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0O3bcsAgAAV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PQa5aFrd5ZHqGj&#10;eN6ujgECtrpGUToleq3QbW1l+smI7fznvo16+hssH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vQ7dty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48FF558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saveSubset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165"/>
    <w:rsid w:val="00031165"/>
    <w:rsid w:val="0037319A"/>
    <w:rsid w:val="005123E3"/>
    <w:rsid w:val="005D78D3"/>
    <w:rsid w:val="005F7FC1"/>
    <w:rsid w:val="006022A5"/>
    <w:rsid w:val="006B55D6"/>
    <w:rsid w:val="00727B81"/>
    <w:rsid w:val="007E416A"/>
    <w:rsid w:val="00971413"/>
    <w:rsid w:val="00B40E5B"/>
    <w:rsid w:val="00C23A47"/>
    <w:rsid w:val="00EF0A52"/>
    <w:rsid w:val="00FA1DE6"/>
    <w:rsid w:val="035E7A16"/>
    <w:rsid w:val="06941DC6"/>
    <w:rsid w:val="19F6DA34"/>
    <w:rsid w:val="1C2838BF"/>
    <w:rsid w:val="1D485456"/>
    <w:rsid w:val="1F6B6AC0"/>
    <w:rsid w:val="1FFFE5BD"/>
    <w:rsid w:val="28CA642A"/>
    <w:rsid w:val="2BDF9E85"/>
    <w:rsid w:val="333FDE2C"/>
    <w:rsid w:val="3F67793C"/>
    <w:rsid w:val="42B0500A"/>
    <w:rsid w:val="4E7E31A0"/>
    <w:rsid w:val="56FBDE94"/>
    <w:rsid w:val="57F3806F"/>
    <w:rsid w:val="5BCF7AD3"/>
    <w:rsid w:val="5D6737D9"/>
    <w:rsid w:val="5F7104CA"/>
    <w:rsid w:val="5FF7D9B7"/>
    <w:rsid w:val="61302E91"/>
    <w:rsid w:val="65E81C09"/>
    <w:rsid w:val="68FE2FAA"/>
    <w:rsid w:val="6AEFC613"/>
    <w:rsid w:val="6C0543DC"/>
    <w:rsid w:val="6C305F8D"/>
    <w:rsid w:val="6D7B6243"/>
    <w:rsid w:val="729F83BF"/>
    <w:rsid w:val="73AFC5D2"/>
    <w:rsid w:val="74EE481B"/>
    <w:rsid w:val="7BE7BF6D"/>
    <w:rsid w:val="7DEB5D9B"/>
    <w:rsid w:val="7EBF4FF9"/>
    <w:rsid w:val="7EF214DF"/>
    <w:rsid w:val="7F3FB076"/>
    <w:rsid w:val="7FA3E9E9"/>
    <w:rsid w:val="7FFC1E6F"/>
    <w:rsid w:val="95F7AE71"/>
    <w:rsid w:val="AFAFA80C"/>
    <w:rsid w:val="BEDDDA19"/>
    <w:rsid w:val="CD9D93A6"/>
    <w:rsid w:val="D2DFB62A"/>
    <w:rsid w:val="D7F3D222"/>
    <w:rsid w:val="D7FF1812"/>
    <w:rsid w:val="DBDD2C26"/>
    <w:rsid w:val="DDC75C74"/>
    <w:rsid w:val="E7DF63B9"/>
    <w:rsid w:val="EFFFCDC6"/>
    <w:rsid w:val="EFFFCFFB"/>
    <w:rsid w:val="F4FFBB93"/>
    <w:rsid w:val="F57B7FA2"/>
    <w:rsid w:val="F9A4F9A6"/>
    <w:rsid w:val="FBA7009F"/>
    <w:rsid w:val="FBDF64D5"/>
    <w:rsid w:val="FBEF3ABD"/>
    <w:rsid w:val="FDEECDC1"/>
    <w:rsid w:val="FDF4B82A"/>
    <w:rsid w:val="FDF7CF12"/>
    <w:rsid w:val="FEFE7C39"/>
    <w:rsid w:val="FF5F2A4D"/>
    <w:rsid w:val="FFE73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pPr>
      <w:spacing w:line="360" w:lineRule="auto"/>
      <w:ind w:firstLine="200" w:firstLineChars="200"/>
    </w:pPr>
    <w:rPr>
      <w:rFonts w:ascii="仿宋" w:hAnsi="Calibri" w:eastAsia="仿宋" w:cs="Times New Roman"/>
      <w:sz w:val="30"/>
      <w:szCs w:val="30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7">
    <w:name w:val="Table Grid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character" w:customStyle="1" w:styleId="10">
    <w:name w:val="10"/>
    <w:basedOn w:val="8"/>
    <w:qFormat/>
    <w:uiPriority w:val="0"/>
    <w:rPr>
      <w:rFonts w:hint="default" w:ascii="Times New Roman" w:hAnsi="Times New Roman" w:cs="Times New Roman"/>
    </w:rPr>
  </w:style>
  <w:style w:type="character" w:customStyle="1" w:styleId="11">
    <w:name w:val="15"/>
    <w:basedOn w:val="8"/>
    <w:qFormat/>
    <w:uiPriority w:val="0"/>
    <w:rPr>
      <w:rFonts w:hint="default" w:ascii="Times New Roman" w:hAnsi="Times New Roman" w:cs="Times New Roman"/>
      <w:b/>
    </w:rPr>
  </w:style>
  <w:style w:type="paragraph" w:customStyle="1" w:styleId="12">
    <w:name w:val="指南标题3"/>
    <w:qFormat/>
    <w:uiPriority w:val="0"/>
    <w:pPr>
      <w:keepNext/>
      <w:keepLines/>
      <w:widowControl w:val="0"/>
      <w:spacing w:line="360" w:lineRule="auto"/>
      <w:outlineLvl w:val="2"/>
    </w:pPr>
    <w:rPr>
      <w:rFonts w:ascii="仿宋" w:hAnsi="宋体" w:eastAsia="仿宋" w:cs="Times New Roman"/>
      <w:b/>
      <w:color w:val="000000"/>
      <w:kern w:val="2"/>
      <w:sz w:val="32"/>
      <w:szCs w:val="32"/>
      <w:lang w:val="en-US" w:eastAsia="zh-CN" w:bidi="ar-SA"/>
    </w:rPr>
  </w:style>
  <w:style w:type="paragraph" w:customStyle="1" w:styleId="13">
    <w:name w:val="Table Text"/>
    <w:basedOn w:val="1"/>
    <w:hidden/>
    <w:qFormat/>
    <w:uiPriority w:val="0"/>
    <w:pPr>
      <w:spacing w:before="127" w:line="360" w:lineRule="auto"/>
      <w:jc w:val="center"/>
    </w:pPr>
    <w:rPr>
      <w:rFonts w:ascii="仿宋" w:hAnsi="仿宋" w:eastAsia="仿宋" w:cs="Times New Roman"/>
      <w:sz w:val="28"/>
      <w:szCs w:val="28"/>
    </w:rPr>
  </w:style>
  <w:style w:type="paragraph" w:customStyle="1" w:styleId="14">
    <w:name w:val="指南标题2"/>
    <w:qFormat/>
    <w:uiPriority w:val="0"/>
    <w:pPr>
      <w:keepNext/>
      <w:keepLines/>
      <w:widowControl w:val="0"/>
      <w:spacing w:line="360" w:lineRule="auto"/>
      <w:outlineLvl w:val="1"/>
    </w:pPr>
    <w:rPr>
      <w:rFonts w:ascii="黑体" w:hAnsi="Microsoft YaHei UI" w:eastAsia="黑体" w:cs="Times New Roman"/>
      <w:b/>
      <w:color w:val="000000"/>
      <w:kern w:val="2"/>
      <w:sz w:val="32"/>
      <w:szCs w:val="32"/>
      <w:lang w:val="en-US" w:eastAsia="zh-CN" w:bidi="ar-SA"/>
    </w:rPr>
  </w:style>
  <w:style w:type="character" w:customStyle="1" w:styleId="15">
    <w:name w:val="17"/>
    <w:basedOn w:val="8"/>
    <w:qFormat/>
    <w:uiPriority w:val="0"/>
    <w:rPr>
      <w:rFonts w:hint="default" w:ascii="方正黑体_GBK" w:hAnsi="方正黑体_GBK" w:eastAsia="方正黑体_GBK" w:cs="方正黑体_GBK"/>
      <w:color w:val="FF0000"/>
      <w:sz w:val="24"/>
      <w:szCs w:val="24"/>
    </w:rPr>
  </w:style>
  <w:style w:type="character" w:customStyle="1" w:styleId="16">
    <w:name w:val="18"/>
    <w:basedOn w:val="8"/>
    <w:qFormat/>
    <w:uiPriority w:val="0"/>
    <w:rPr>
      <w:rFonts w:hint="eastAsia" w:ascii="宋体" w:hAnsi="宋体" w:eastAsia="宋体" w:cs="宋体"/>
      <w:color w:val="0070C0"/>
      <w:sz w:val="22"/>
      <w:szCs w:val="22"/>
    </w:rPr>
  </w:style>
  <w:style w:type="character" w:customStyle="1" w:styleId="17">
    <w:name w:val="16"/>
    <w:basedOn w:val="8"/>
    <w:qFormat/>
    <w:uiPriority w:val="0"/>
    <w:rPr>
      <w:rFonts w:hint="default" w:ascii="Times New Roman" w:hAnsi="Times New Roman" w:cs="Times New Roman"/>
      <w:color w:val="800080"/>
      <w:u w:val="single"/>
    </w:rPr>
  </w:style>
  <w:style w:type="paragraph" w:customStyle="1" w:styleId="18">
    <w:name w:val="正文-公1"/>
    <w:basedOn w:val="1"/>
    <w:qFormat/>
    <w:uiPriority w:val="0"/>
    <w:pPr>
      <w:spacing w:line="360" w:lineRule="auto"/>
      <w:ind w:firstLine="200" w:firstLineChars="200"/>
    </w:pPr>
    <w:rPr>
      <w:rFonts w:ascii="仿宋" w:hAnsi="Calibri" w:eastAsia="仿宋" w:cs="Times New Roman"/>
      <w:sz w:val="32"/>
      <w:szCs w:val="32"/>
    </w:rPr>
  </w:style>
  <w:style w:type="paragraph" w:customStyle="1" w:styleId="19">
    <w:name w:val="指南标题1"/>
    <w:qFormat/>
    <w:uiPriority w:val="0"/>
    <w:pPr>
      <w:keepNext/>
      <w:keepLines/>
      <w:widowControl w:val="0"/>
      <w:spacing w:after="120" w:line="360" w:lineRule="auto"/>
      <w:jc w:val="center"/>
      <w:outlineLvl w:val="0"/>
    </w:pPr>
    <w:rPr>
      <w:rFonts w:ascii="方正小标宋简体" w:hAnsi="Microsoft YaHei UI" w:eastAsia="方正小标宋简体" w:cs="Times New Roman"/>
      <w:b/>
      <w:color w:val="000000"/>
      <w:kern w:val="44"/>
      <w:sz w:val="36"/>
      <w:szCs w:val="36"/>
      <w:lang w:val="en-US" w:eastAsia="zh-CN" w:bidi="ar-SA"/>
    </w:rPr>
  </w:style>
  <w:style w:type="paragraph" w:customStyle="1" w:styleId="20">
    <w:name w:val="指南标题"/>
    <w:basedOn w:val="1"/>
    <w:qFormat/>
    <w:uiPriority w:val="0"/>
    <w:pPr>
      <w:spacing w:line="360" w:lineRule="auto"/>
      <w:ind w:left="1433" w:hanging="1433" w:hangingChars="398"/>
      <w:jc w:val="center"/>
    </w:pPr>
    <w:rPr>
      <w:rFonts w:ascii="方正小标宋简体" w:hAnsi="微软雅黑" w:eastAsia="方正小标宋简体" w:cs="Times New Roman"/>
      <w:sz w:val="36"/>
      <w:szCs w:val="36"/>
    </w:rPr>
  </w:style>
  <w:style w:type="table" w:customStyle="1" w:styleId="21">
    <w:name w:val="Table Normal1"/>
    <w:basedOn w:val="6"/>
    <w:qFormat/>
    <w:uiPriority w:val="0"/>
    <w:tblPr>
      <w:tblCellMar>
        <w:left w:w="0" w:type="dxa"/>
        <w:right w:w="0" w:type="dxa"/>
      </w:tblCellMar>
    </w:tblPr>
  </w:style>
  <w:style w:type="character" w:customStyle="1" w:styleId="22">
    <w:name w:val="font61"/>
    <w:basedOn w:val="8"/>
    <w:autoRedefine/>
    <w:qFormat/>
    <w:uiPriority w:val="0"/>
    <w:rPr>
      <w:rFonts w:hint="default" w:ascii="方正黑体_GBK" w:hAnsi="方正黑体_GBK" w:eastAsia="方正黑体_GBK" w:cs="方正黑体_GBK"/>
      <w:color w:val="FF0000"/>
      <w:sz w:val="24"/>
      <w:szCs w:val="24"/>
      <w:u w:val="none"/>
    </w:rPr>
  </w:style>
  <w:style w:type="character" w:customStyle="1" w:styleId="23">
    <w:name w:val="font31"/>
    <w:basedOn w:val="8"/>
    <w:autoRedefine/>
    <w:qFormat/>
    <w:uiPriority w:val="0"/>
    <w:rPr>
      <w:rFonts w:hint="eastAsia" w:ascii="宋体" w:hAnsi="宋体" w:eastAsia="宋体" w:cs="宋体"/>
      <w:color w:val="0070C0"/>
      <w:sz w:val="22"/>
      <w:szCs w:val="22"/>
      <w:u w:val="none"/>
    </w:rPr>
  </w:style>
  <w:style w:type="paragraph" w:customStyle="1" w:styleId="24">
    <w:name w:val="Revision"/>
    <w:hidden/>
    <w:unhideWhenUsed/>
    <w:qFormat/>
    <w:uiPriority w:val="99"/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942</Words>
  <Characters>997</Characters>
  <Lines>11</Lines>
  <Paragraphs>3</Paragraphs>
  <TotalTime>0</TotalTime>
  <ScaleCrop>false</ScaleCrop>
  <LinksUpToDate>false</LinksUpToDate>
  <CharactersWithSpaces>1441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2025-06-04T12:42:00Z</dcterms:created>
  <dc:creator/>
  <cp:lastModifiedBy/>
  <dcterms:modified xsi:type="dcterms:W3CDTF">2026-06-26T10:42:11Z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eyJoZGlkIjoiMjBmMzg2ZmFkMDc5YmExYmZmYjEyYjAyOWU2M2ViOWYiLCJ1c2VySWQiOiIxNDc1MjUxMTM2In0=</vt:lpwstr>
  </property>
  <property fmtid="{D5CDD505-2E9C-101B-9397-08002B2CF9AE}" pid="4" name="ICV">
    <vt:lpwstr>86668F13B8C44D3EB2969BC94BB20520_13</vt:lpwstr>
  </property>
</Properties>
</file>