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50CB2E">
      <w:pPr>
        <w:spacing w:line="360" w:lineRule="auto"/>
        <w:ind w:left="1114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1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4C609DEA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二届中国研究生智慧城市技术与创意设计大赛</w:t>
      </w:r>
      <w:bookmarkStart w:id="0" w:name="_Toc479323112"/>
      <w:bookmarkStart w:id="1" w:name="_Toc479323333"/>
    </w:p>
    <w:p w14:paraId="23A7038F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2" w:name="_Toc108088507"/>
      <w:bookmarkStart w:id="3" w:name="_Toc7210846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</w:t>
      </w:r>
      <w:bookmarkEnd w:id="0"/>
      <w:bookmarkEnd w:id="1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项目简表</w:t>
      </w:r>
      <w:bookmarkEnd w:id="2"/>
      <w:bookmarkEnd w:id="3"/>
    </w:p>
    <w:p w14:paraId="5CA8D785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（申报正文草案）</w:t>
      </w:r>
    </w:p>
    <w:tbl>
      <w:tblPr>
        <w:tblStyle w:val="7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42" w:type="dxa"/>
          <w:left w:w="108" w:type="dxa"/>
          <w:bottom w:w="142" w:type="dxa"/>
          <w:right w:w="108" w:type="dxa"/>
        </w:tblCellMar>
      </w:tblPr>
      <w:tblGrid>
        <w:gridCol w:w="1792"/>
        <w:gridCol w:w="1464"/>
        <w:gridCol w:w="1570"/>
        <w:gridCol w:w="1842"/>
        <w:gridCol w:w="3822"/>
      </w:tblGrid>
      <w:tr w14:paraId="7B788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CAF9BDA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乡艺有据——可信非遗体验编排智能体</w:t>
            </w:r>
          </w:p>
        </w:tc>
      </w:tr>
      <w:tr w14:paraId="67477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605C8C8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待补（匿名团队名称）</w:t>
            </w:r>
          </w:p>
        </w:tc>
      </w:tr>
      <w:tr w14:paraId="2DE26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5A5714F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参赛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eastAsia="zh-Hans"/>
              </w:rPr>
              <w:t>赛道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/</w:t>
            </w:r>
          </w:p>
          <w:p w14:paraId="781AD66F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赛题</w:t>
            </w:r>
          </w:p>
        </w:tc>
        <w:tc>
          <w:tcPr>
            <w:tcW w:w="8698" w:type="dxa"/>
            <w:gridSpan w:val="4"/>
            <w:vAlign w:val="center"/>
          </w:tcPr>
          <w:p w14:paraId="4FAF87E1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.定向赛道-低空经济与空天科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.定向赛道-智慧交通与数字孪生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</w:t>
            </w:r>
          </w:p>
          <w:p w14:paraId="66DE1D9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3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.定向赛道-智能建造与城市更新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4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.定向赛道-未来城市与太空人居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</w:p>
          <w:p w14:paraId="605D67D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32"/>
                <w:szCs w:val="21"/>
              </w:rPr>
            </w:pPr>
            <w:bookmarkStart w:id="4" w:name="OLE_LINK1"/>
            <w:bookmarkEnd w:id="4"/>
            <w:r>
              <w:rPr>
                <w:rFonts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5.定向赛道-智慧文旅与乡村振兴 ☑    6.定向赛道-智慧能源与环境         □  </w:t>
            </w:r>
          </w:p>
          <w:p w14:paraId="054581E6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7.</w:t>
            </w:r>
            <w:bookmarkStart w:id="5" w:name="OLE_LINK2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bookmarkEnd w:id="5"/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韧性城市与智慧应急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8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AI与具身智能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  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lang w:val="en-US" w:eastAsia="zh-CN"/>
              </w:rPr>
              <w:t xml:space="preserve">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3690E679">
            <w:pPr>
              <w:widowControl/>
              <w:jc w:val="distribute"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9.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智慧生活与大健康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bookmarkStart w:id="6" w:name="OLE_LINK7"/>
            <w:bookmarkStart w:id="7" w:name="OLE_LINK6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bookmarkEnd w:id="6"/>
            <w:bookmarkEnd w:id="7"/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10.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城市运维与安全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CECD00F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11.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智能材料与绿色建造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</w:p>
          <w:p w14:paraId="15C10EC3">
            <w:pPr>
              <w:widowControl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.自由赛道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62D0BAA6">
            <w:pPr>
              <w:widowControl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3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企业揭榜赛道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84F9023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14.地方特色赛道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</w:tc>
      </w:tr>
      <w:tr w14:paraId="29D2A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1D0A833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队长姓名</w:t>
            </w:r>
          </w:p>
        </w:tc>
        <w:tc>
          <w:tcPr>
            <w:tcW w:w="3034" w:type="dxa"/>
            <w:gridSpan w:val="2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  <w:tc>
          <w:tcPr>
            <w:tcW w:w="1842" w:type="dxa"/>
            <w:shd w:val="clear" w:color="auto" w:fill="E7E6E6"/>
          </w:tcPr>
          <w:p w14:paraId="4622BAB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队长联系电话</w:t>
            </w:r>
          </w:p>
        </w:tc>
        <w:tc>
          <w:tcPr>
            <w:tcW w:w="3822" w:type="dxa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</w:t>
            </w:r>
          </w:p>
        </w:tc>
      </w:tr>
      <w:tr w14:paraId="7741A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DA46AC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团队成员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</w:tr>
      <w:tr w14:paraId="372E1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838540A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报告内容</w:t>
            </w:r>
          </w:p>
          <w:p w14:paraId="252E61E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摘要</w:t>
            </w: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4BF3C018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1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）项目背景</w:t>
            </w:r>
          </w:p>
        </w:tc>
      </w:tr>
      <w:tr w14:paraId="3639B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1DDCBF85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乡村非遗体验的组织者需要同时回答：讲解是否有出处，地方工艺是否讲错，预算与接待资源能否兑现。蔚县剪纸与丰宁满族剪纸的技法描述不同，直接拼接网络文案容易混淆地域；流畅的生成文本也不能证明传承人到场、工坊开放或素材可商用。本项目以蔚县剪纸为首个受控案例，帮助工作人员将有依据的文化讲述转化为可核算、可确认、可更新的体验活动。真实需求强度和付费意愿仍待访谈验证。</w:t>
            </w:r>
          </w:p>
        </w:tc>
      </w:tr>
      <w:tr w14:paraId="5049E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878284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2A5720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2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）立项思路</w:t>
            </w:r>
          </w:p>
        </w:tc>
      </w:tr>
      <w:tr w14:paraId="70FF8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C61D152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将文化资料与经营配置分开管理，让本地大语言模型理解需求、核对陈述、生成分众讲解，让程序计算金额、时长、容量和资源占用。通过智能体串联证据检索、活动求解、校验与有上限的修订。重点建立“来源—陈述—讲解卡—体验方案”的关联：一句文案改变可定位到证据，一项偏好改变可落实到活动，一项素材撤回可定位并更新受影响的体验包。现已具备真实本地运行的三页界面及人工确认后的双版导出。</w:t>
            </w:r>
          </w:p>
        </w:tc>
      </w:tr>
      <w:tr w14:paraId="2391A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E2ED5F1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5BBE221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3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）解决方案</w:t>
            </w:r>
          </w:p>
        </w:tc>
      </w:tr>
      <w:tr w14:paraId="2EAFA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444014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sz w:val="24"/>
              </w:rPr>
            </w:pPr>
            <w:r>
              <w:rPr>
                <w:rFonts w:ascii="Times New Roman" w:hAnsi="Times New Roman" w:eastAsia="仿宋" w:cs="Times New Roman"/>
                <w:sz w:val="24"/>
                <w:color w:val="000000"/>
              </w:rPr>
              <w:t xml:space="preserve">前端保留纸白、墨绿、朱红的三页结构，以原文与修订对照、证据原文位置、方案前后差异和体验包预览呈现结果。后台采用Qwen3-14B Q4_K_M、Ollama、LangGraph OSS、FastAPI与SQLite，不微调、不接付费模型API。输入经拆解后，文化陈述按地域及项目检索，分别标记来源支持、矛盾、资料分歧和信息不足；没有检索到不直接判错。经营承诺须由接待方确认，不能从文化来源推导。程序在八个同场地活动模块中枚举可行组合，使用整数分核算费用，检查必要时长、人数、教师与场地，保留原轻、深套餐作为回归。已核验事实转为一般游客或亲子客群的短讲解、观察任务与互动提问，教学创意明确标注，生成后再查文化断言。对外使用需人工确认；资料或素材状态改变即使旧确认失效，再生成游客版和含账本、日程、资源及引用的组织者版。当前报价、服务报酬和材料数量均为演示测算。</w:t>
            </w:r>
          </w:p>
        </w:tc>
      </w:tr>
      <w:tr w14:paraId="5C229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E7A608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F1FAEF0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4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</w:t>
            </w:r>
            <w:r>
              <w:rPr>
                <w:rFonts w:hint="eastAsia" w:ascii="Times New Roman" w:hAnsi="Times New Roman" w:eastAsia="仿宋" w:cs="Times New Roman"/>
                <w:b/>
                <w:sz w:val="24"/>
              </w:rPr>
              <w:t>商业模式和预期效益</w:t>
            </w:r>
          </w:p>
        </w:tc>
      </w:tr>
      <w:tr w14:paraId="7855E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5E5D62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sz w:val="24"/>
                <w:color w:val="000000"/>
              </w:rPr>
              <w:t xml:space="preserve">拟向乡村工坊、研学组织者和文旅服务机构提供本地部署、资料整理、活动模板配置及维护服务；定价与付费方式待访谈验证。文化价值在于保留地域差异、展示出处及尊重使用边界；村民共益在于将讲解、手作教学等服务报酬单列，便于约定与核对；生态设计将纸材数量和工具复用列入活动说明。上述为产品机制和预期价值，尚无真实合作订单、收入增长、净利润或减排成效证据，不填虚构收益。</w:t>
            </w:r>
          </w:p>
        </w:tc>
      </w:tr>
      <w:tr w14:paraId="5024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08F3AE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作品技术</w:t>
            </w:r>
          </w:p>
          <w:p w14:paraId="5E9AB71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自评价</w:t>
            </w:r>
          </w:p>
        </w:tc>
        <w:tc>
          <w:tcPr>
            <w:tcW w:w="1464" w:type="dxa"/>
            <w:vAlign w:val="center"/>
          </w:tcPr>
          <w:p w14:paraId="2B6B5B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作品所处</w:t>
            </w:r>
          </w:p>
          <w:p w14:paraId="091CD7F2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研发阶段：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创意设计类；基础研究类；</w:t>
            </w:r>
          </w:p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软硬件开发类（选择）；工程实施类</w:t>
            </w:r>
          </w:p>
        </w:tc>
      </w:tr>
      <w:tr w14:paraId="23A8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D48048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75620A7F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先进性：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国际领先；国际先进；国内领先；国内先进；国内一般；无法判断（选择，尚无充分对标证据）</w:t>
            </w:r>
          </w:p>
        </w:tc>
      </w:tr>
      <w:tr w14:paraId="771EF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4BB40A0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4DA94D54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成果交付物类型（可多选）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□硬件 ☑软件 □工艺 ☑方法 □服务 □商业模式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□其他</w:t>
            </w:r>
          </w:p>
        </w:tc>
      </w:tr>
      <w:tr w14:paraId="3BCCB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15EE5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559DBAC9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技术成熟度（单选）：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□第1级 □第2级 □第3级 □第4级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□第5级 □第6级 □第7级 □第8级 □第9级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待依据成熟度定义与实施证据核定，暂不选择。</w:t>
            </w:r>
          </w:p>
        </w:tc>
      </w:tr>
      <w:tr w14:paraId="75AE4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9E81CC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1651D406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国内外对比参照物（可多个参照物）：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同模型、同资料、同工具的固定流程（内部对照，非第三方产品）；结果见2026年10月3日小规模内部验收。其他国内外产品或技术的规范比较待补。</w:t>
            </w:r>
          </w:p>
        </w:tc>
      </w:tr>
      <w:tr w14:paraId="4DA05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2854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D3CA0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074E71CC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关键指标</w:t>
            </w:r>
          </w:p>
          <w:p w14:paraId="22BB7561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提升情况：（</w:t>
            </w:r>
            <w:r>
              <w:rPr>
                <w:rFonts w:hint="eastAsia" w:ascii="Times New Roman" w:hAnsi="Times New Roman" w:eastAsia="仿宋" w:cs="仿宋"/>
                <w:b/>
                <w:bCs/>
                <w:kern w:val="0"/>
                <w:sz w:val="24"/>
                <w:szCs w:val="18"/>
              </w:rPr>
              <w:t>关键指标一般3-5项，具体数值需有相关试验报告、第三方检测报告等佐证材料支撑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）</w:t>
            </w:r>
          </w:p>
        </w:tc>
        <w:tc>
          <w:tcPr>
            <w:tcW w:w="7234" w:type="dxa"/>
            <w:gridSpan w:val="3"/>
            <w:vAlign w:val="center"/>
          </w:tcPr>
          <w:tbl>
            <w:tblPr>
              <w:tblStyle w:val="6"/>
              <w:tblpPr w:leftFromText="180" w:rightFromText="180" w:vertAnchor="text" w:horzAnchor="page" w:tblpXSpec="center" w:tblpY="396"/>
              <w:tblOverlap w:val="never"/>
              <w:tblW w:w="7018" w:type="dxa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1"/>
              <w:gridCol w:w="1170"/>
              <w:gridCol w:w="1124"/>
              <w:gridCol w:w="1095"/>
              <w:gridCol w:w="2118"/>
            </w:tblGrid>
            <w:tr w14:paraId="517BB7AC">
              <w:trPr>
                <w:trHeight w:val="418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1E68AE64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指标名称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E459E57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指标值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675C0D12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参照值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784E9B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提升度%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 w14:paraId="3A37FC8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参照对象</w:t>
                  </w:r>
                </w:p>
              </w:tc>
            </w:tr>
            <w:tr w14:paraId="19C3468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完整交付题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12/12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10/12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1B52B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必要确认题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6/6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6CA6FAA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具体正确拒绝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3/6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EA4C8E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任务中位耗时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4.523秒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2.209秒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同机各24任务</w:t>
                  </w:r>
                </w:p>
              </w:tc>
            </w:tr>
            <w:tr w14:paraId="67A735D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模型调用总数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98次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78次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各24任务总计</w:t>
                  </w:r>
                </w:p>
              </w:tc>
            </w:tr>
          </w:tbl>
          <w:p w14:paraId="290D2574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</w:p>
        </w:tc>
      </w:tr>
      <w:tr w14:paraId="1BCD2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A2BBC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66A02A37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提升维度（可多选）：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新功能实现：可追溯核验、活动组合与双版包更新。</w:t>
            </w:r>
          </w:p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质量、成本、效率及交付周期的提升值待实测，不填推断百分比。</w:t>
            </w:r>
          </w:p>
        </w:tc>
      </w:tr>
    </w:tbl>
    <w:p w14:paraId="44058CED">
      <w:bookmarkStart w:id="8" w:name="_GoBack"/>
      <w:bookmarkEnd w:id="8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7AF563C4-34D6-4E03-89B5-3674323779EC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9AABD739-417C-4C4C-A62C-829D6C4A6EBA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  <w:embedRegular r:id="rId3" w:fontKey="{C835C360-9FBA-457D-AB94-D833C240D37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2026-06-26T10:41:35Z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52254B7D4BEC44C7AC8CB2B97703B85B_13</vt:lpwstr>
  </property>
</Properties>
</file>