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F233D7">
      <w:pPr>
        <w:spacing w:line="360" w:lineRule="auto"/>
        <w:ind w:left="1114" w:hanging="1114" w:hangingChars="398"/>
        <w:jc w:val="left"/>
        <w:rPr>
          <w:rFonts w:ascii="Times New Roman" w:hAnsi="Times New Roman" w:eastAsia="仿宋" w:cs="Times New Roman"/>
          <w:sz w:val="28"/>
          <w:szCs w:val="28"/>
        </w:rPr>
      </w:pPr>
      <w:r>
        <w:rPr>
          <w:rFonts w:hint="eastAsia" w:ascii="Times New Roman" w:hAnsi="Times New Roman" w:eastAsia="仿宋" w:cs="Times New Roman"/>
          <w:sz w:val="28"/>
          <w:szCs w:val="28"/>
        </w:rPr>
        <w:t>附件</w:t>
      </w:r>
      <w:r>
        <w:rPr>
          <w:rFonts w:ascii="Times New Roman" w:hAnsi="Times New Roman" w:eastAsia="仿宋" w:cs="Times New Roman"/>
          <w:sz w:val="28"/>
          <w:szCs w:val="28"/>
        </w:rPr>
        <w:t>3</w:t>
      </w:r>
      <w:r>
        <w:rPr>
          <w:rFonts w:hint="eastAsia" w:ascii="Times New Roman" w:hAnsi="Times New Roman" w:eastAsia="仿宋" w:cs="Times New Roman"/>
          <w:sz w:val="28"/>
          <w:szCs w:val="28"/>
        </w:rPr>
        <w:t>：</w:t>
      </w:r>
    </w:p>
    <w:p w14:paraId="609A88A8">
      <w:pPr>
        <w:widowControl/>
        <w:spacing w:line="360" w:lineRule="auto"/>
        <w:jc w:val="center"/>
        <w:rPr>
          <w:rFonts w:ascii="方正小标宋简体" w:hAnsi="方正小标宋简体" w:eastAsia="方正小标宋简体" w:cs="方正小标宋简体"/>
          <w:sz w:val="36"/>
          <w:szCs w:val="36"/>
        </w:rPr>
      </w:pPr>
      <w:bookmarkStart w:id="0" w:name="_Toc479323341"/>
      <w:r>
        <w:rPr>
          <w:rFonts w:hint="eastAsia" w:ascii="方正小标宋简体" w:hAnsi="方正小标宋简体" w:eastAsia="方正小标宋简体" w:cs="方正小标宋简体"/>
          <w:sz w:val="36"/>
          <w:szCs w:val="36"/>
        </w:rPr>
        <w:t>第</w:t>
      </w:r>
      <w:r>
        <w:rPr>
          <w:rFonts w:hint="eastAsia" w:ascii="方正小标宋简体" w:hAnsi="方正小标宋简体" w:eastAsia="方正小标宋简体" w:cs="方正小标宋简体"/>
          <w:sz w:val="36"/>
          <w:szCs w:val="36"/>
          <w:lang w:eastAsia="zh-Hans"/>
        </w:rPr>
        <w:t>十二</w:t>
      </w:r>
      <w:r>
        <w:rPr>
          <w:rFonts w:hint="eastAsia" w:ascii="方正小标宋简体" w:hAnsi="方正小标宋简体" w:eastAsia="方正小标宋简体" w:cs="方正小标宋简体"/>
          <w:sz w:val="36"/>
          <w:szCs w:val="36"/>
        </w:rPr>
        <w:t>届中国研究生智慧城市技术与创意设计大赛</w:t>
      </w:r>
    </w:p>
    <w:p w14:paraId="46070F9E">
      <w:pPr>
        <w:spacing w:line="360" w:lineRule="auto"/>
        <w:ind w:left="210" w:leftChars="100" w:right="210" w:rightChars="100"/>
        <w:jc w:val="center"/>
        <w:rPr>
          <w:rFonts w:ascii="方正小标宋简体" w:hAnsi="方正小标宋简体" w:eastAsia="方正小标宋简体" w:cs="方正小标宋简体"/>
          <w:sz w:val="36"/>
          <w:szCs w:val="36"/>
        </w:rPr>
      </w:pPr>
      <w:bookmarkStart w:id="1" w:name="_Toc108088509"/>
      <w:bookmarkStart w:id="2" w:name="_Toc7210848"/>
      <w:r>
        <w:rPr>
          <w:rFonts w:hint="eastAsia" w:ascii="方正小标宋简体" w:hAnsi="方正小标宋简体" w:eastAsia="方正小标宋简体" w:cs="方正小标宋简体"/>
          <w:sz w:val="36"/>
          <w:szCs w:val="36"/>
        </w:rPr>
        <w:t>创意设计赛项目商业计划书</w:t>
      </w:r>
      <w:bookmarkEnd w:id="1"/>
      <w:bookmarkEnd w:id="2"/>
    </w:p>
    <w:p w14:paraId="02836DAA">
      <w:pPr>
        <w:widowControl/>
        <w:spacing w:line="360" w:lineRule="auto"/>
        <w:jc w:val="center"/>
        <w:rPr>
          <w:rFonts w:ascii="Times New Roman" w:hAnsi="Times New Roman" w:eastAsia="仿宋" w:cs="Times New Roman"/>
          <w:sz w:val="28"/>
          <w:szCs w:val="36"/>
        </w:rPr>
      </w:pPr>
      <w:bookmarkEnd w:id="0"/>
      <w:r>
        <w:rPr>
          <w:rFonts w:hint="eastAsia" w:ascii="Times New Roman" w:hAnsi="Times New Roman" w:eastAsia="仿宋" w:cs="Times New Roman"/>
          <w:sz w:val="28"/>
          <w:szCs w:val="36"/>
          <w:color w:val="000000"/>
        </w:rPr>
        <w:t xml:space="preserve">乡艺有据——可信非遗体验编排智能体</w:t>
      </w:r>
    </w:p>
    <w:p w14:paraId="268B5F66">
      <w:pPr>
        <w:widowControl/>
        <w:spacing w:line="360" w:lineRule="auto"/>
        <w:ind w:firstLine="602" w:firstLineChars="200"/>
        <w:jc w:val="center"/>
        <w:rPr>
          <w:rFonts w:ascii="Times New Roman" w:hAnsi="Times New Roman" w:eastAsia="仿宋" w:cs="Times New Roman"/>
          <w:b/>
          <w:sz w:val="30"/>
          <w:szCs w:val="30"/>
        </w:rPr>
      </w:pPr>
    </w:p>
    <w:p w14:paraId="36E44C21">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一、项目方案概述</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乡艺有据为乡村工坊及研学组织者提供可信非遗体验编排，让非遗不止被看见，更能被体验：核对带地域的文化文案，依据预算、时长和接待资源组合活动，生成分众讲解及游客、组织者双版体验包。采用本地模型与程序校验，人工确认后交付；来源或素材撤回可追踪更新。现为蔚县剪纸受控原型，报价与报酬均为演示测算。</w:t>
      </w:r>
    </w:p>
    <w:p w14:paraId="333CAF99">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二、项目团队</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按文化资料与使用边界、模型与后端、前端与交付、测试与运营核对四类职责组织协作，可由成员兼任。实际队员人数、分工经历、指导关系及投入时间待补，并按平台要求核对匿名与身份栏目。尚无经确认的文化顾问、合作工坊或经营导师，不列虚构成员及合作背书。</w:t>
      </w:r>
    </w:p>
    <w:p w14:paraId="011AC5C9">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三、项目产品（服务）化（</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08BA371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项目产品（服务）特性</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产品交付单位是一份经确认的体验包。工作人员在三页界面沿同一场剪纸体验完成内容核验、方案比较和交付。游客版提供可读的短讲解、观察任务、互动提问和日程；组织者版附证据、原文修订、经营账本、资源占用、使用边界和版本记录。它适合帮助已有文化主题和场地的组织者备课、核算与更新活动，不承担支付、订单承诺、资格认证或现场安全处置。</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当前资料范围为四个官方页面的十二个短片段，经营层为八个同场地演示模块；原轻、深套餐保留。文化陈述区分支持、矛盾、分歧与不足，教学创意明确标识。来源与素材状态变化能够定位受影响内容并撤销旧确认。自然语言偏好只在支持的结构化范围内应用，必要条件冲突要求确认，资源无解时给出具体原因。</w:t>
      </w:r>
    </w:p>
    <w:p w14:paraId="4134301F">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产品（服务）化实施计划</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首批用户拟为有固定场地、已有讲解或手作人员的小型乡村工坊、研学组织者和文旅服务机构。第一阶段交付资料整理、来源—陈述—讲解卡关联、8模块配置和两版体验包；第二阶段提供本地部署培训与按期维护。一次性配置费覆盖资料与模块初始化，维护费覆盖来源、报价、素材状态和版本更新，具体收费待访谈验证。</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先以一个地区、一个项目和少量场次试用，记录备课时间、返工、材料消耗、服务方结算及旧包停用情况；对象及合作状态待落实，不将邀请计划写成已签约。取得真实反馈、授权和责任边界后，再评估扩展相邻场地或其他非遗项目。</w:t>
      </w:r>
    </w:p>
    <w:p w14:paraId="309856B1">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四、项目产品（服务）市场与竞争</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1236582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市场概述</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首批用户拟为乡村工坊负责人、研学组织者和文旅服务机构的内容与接待岗位；游客是体验包的阅读者和参与者。优先选择已有固定场地、服务人员和小规模客流、又常调整客群或预算的组织者。当前没有用户访谈样本、真实订单、采购预算或可验证市场规模，不填写市场份额、行业增速和客户名单。</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市场验证将记录一次活动的文案纠错、备课与改排时间、返工类型、资料更新责任、维护意愿和可接受收费区间，并保留日期及知情同意。只有取得真实数据后，才能确定客户类型与收费方式。</w:t>
      </w:r>
    </w:p>
    <w:p w14:paraId="4060CB3C">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竞争优势分析</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比较三类替代方式：人工查资料并用表格排活动；通用大模型对话生成文案；仅按固定步骤执行的同模型工作流。比较维度为事实可定位、明确偏好落地、金额与日程复算、资源冲突解释、人工确认和撤回后更新。前两类尚未完成规范对比，不能写成已经优于某品牌或人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旧六条首次内部验收仅2条完全符合预期，失败原样保留；修复后的回归6条符合预期。3833ce1冻结版的24条新输入首跑：有界流程完整交付、必要确认、具体正确拒绝分别12/12、6/6、5/6，固定流程10/12、5/6、3/6；对应98/78次调用，任务中位耗时4.523/2.209秒。该首跑是同一协作团队的小规模内部验证，不称独立第三方评测或通用准确率。随后候选版本仅修复“总时间”作用范围，并将同24条输入按两流程各复跑一次：Agent为11/12、6/6、6/6，fixed为9/12、5/6、4/6；SH-06保留模型/执行故障，未重试。两组数字按版本分开记录，不混用、不挑最佳一次。 详细逐例结果与哈希见版本回归记录。</w:t>
      </w:r>
    </w:p>
    <w:p w14:paraId="0E4F397E">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项目实施风险及应对措施</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文化失真风险：限定地域及证据边界，邀请地方文化人员核对，有分歧不强行定论。经营兑现风险：报价、人员及容量由经营者提供，演示数据不得直接用于销售承诺。素材权利风险：公开事实与图片授权分别管理，未明确使用范围时停止相应展示，撤回后使旧确认失效。</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模型与硬件风险：本地推理仍会误解需求，保留程序约束、确认入口和真实故障提示；不同电脑的速度和显存需实测。维护风险：资料与报价会变化，应明确维护人、周期和版本；未建立责任机制前不扩大范围。合规风险：匿名源码材料及公开开发仓库与赛事首次发表条款的适用关系待核实，不将当前公开仓库直接当成匿名交件。</w:t>
      </w:r>
    </w:p>
    <w:p w14:paraId="1A4327CD">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五、商业模式</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600EA843">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项目产品（服务）的开发、生产（服务）策略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采用可本地运行的开源技术栈，模型、资料、经营配置和界面分层维护。拟以“部署配置—资料整理—活动模块配置—人员培训—持续更新”交付服务，先做可复用模板，必要时由客户在本地保管经营资料。基础模型与第三方组件遵守各自许可，不销售其排他所有权；本项目原创范围为工作流、数据关联、校验规则、界面及交付实现。</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每个新场地应建立可核对的接待配置，并确认人员角色、容量、时间、收费及素材使用范围，未经确认不公开售卖活动。部署及后续维护成本分别记录，避免将文化人员的审核劳动隐藏在“AI自动完成”描述中。</w:t>
      </w:r>
    </w:p>
    <w:p w14:paraId="2BA4261A">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项目产品（服务）的营销策略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用三个可现场改输入的演示进行沟通：地域纠错、偏好与预算重排、素材撤回后的包更新。展示失败及边界，让潜在用户判断是否适合自身流程。先收集少量真实试用反馈，再制作经授权的案例；不预先使用合作单位标识，不宣称政府采购、传承人背书或已签客户。</w:t>
      </w:r>
    </w:p>
    <w:p w14:paraId="13A23AEF">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项目产品（服务）获利方式</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探索“一次性部署与资料/模块配置费＋按期维护与培训费”的服务收费逻辑；若客户需要运营协助，再按实际场次提供可选支持。体验活动中讲解、手作教学人员的服务报酬与软件服务费分别核算，不以售卖非遗真实性背书获利。具体价格、续费率、客户数量和销售预测待访谈与试用验证。</w:t>
      </w:r>
    </w:p>
    <w:p w14:paraId="3074D8A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4.</w:t>
      </w:r>
      <w:r>
        <w:rPr>
          <w:rFonts w:hint="eastAsia" w:ascii="Times New Roman" w:hAnsi="Times New Roman" w:eastAsia="仿宋" w:cs="Times New Roman"/>
          <w:sz w:val="28"/>
          <w:szCs w:val="28"/>
        </w:rPr>
        <w:t>（若创业）企业发展计划</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目前以参赛原型及应用验证为目标，尚未确认成立企业或融资计划。若后续获得持续需求，再评估运营主体、责任分工、知识产权、数据与服务协议、成本投入和现金流；相关主体、资金及合作文件均待补。</w:t>
      </w:r>
    </w:p>
    <w:p w14:paraId="7111C5F6">
      <w:pPr>
        <w:widowControl/>
        <w:spacing w:line="360" w:lineRule="auto"/>
        <w:rPr>
          <w:rFonts w:ascii="Times New Roman" w:hAnsi="Times New Roman" w:eastAsia="仿宋" w:cs="Times New Roman"/>
          <w:sz w:val="28"/>
          <w:szCs w:val="28"/>
        </w:rPr>
        <w:keepNext/>
      </w:pPr>
      <w:r>
        <w:rPr>
          <w:rFonts w:hint="eastAsia" w:ascii="Times New Roman" w:hAnsi="Times New Roman" w:eastAsia="仿宋" w:cs="Times New Roman"/>
          <w:b/>
          <w:sz w:val="28"/>
          <w:szCs w:val="28"/>
        </w:rPr>
        <w:t>六、预期经济效益分析</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500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演示情景（不是预测）：以8人、每人110元作为一次活动收款假设，则单场收入为880元；若每月4场，月度情景收入为3520元。成本必须按确认方案账本逐项扣除，包括在地讲解与手作服务报酬、材料耗材、组织成本、软件维护工时、设备折旧、电费、税费和售后；本仓库当前只具备前四类演示测算，缺少真实场次与维护工时，不能计算利润或回本期。</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八人轻体验784元/90分钟、深体验1080元/120分钟是已配置且可复算的演示例子，不是市场报价或营业收入。后续用真实客户数量、客单服务费、交付与维护工时、材料、税费及售后成本复核盈亏；生态与文化价值另行评价，不并入现金收益。</w:t>
      </w:r>
    </w:p>
    <w:p w14:paraId="69C78C76">
      <w:bookmarkStart w:id="3" w:name="_GoBack"/>
      <w:bookmarkEnd w:id="3"/>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embedRegular r:id="rId1" w:fontKey="{8D0356CB-A0C7-4E57-BC15-CDE45039104F}"/>
  </w:font>
  <w:font w:name="Microsoft YaHei UI">
    <w:panose1 w:val="020B0503020204020204"/>
    <w:charset w:val="86"/>
    <w:family w:val="swiss"/>
    <w:pitch w:val="default"/>
    <w:sig w:usb0="80000287" w:usb1="2ACF3C50" w:usb2="00000016" w:usb3="00000000" w:csb0="0004001F" w:csb1="00000000"/>
  </w:font>
  <w:font w:name="方正黑体_GBK">
    <w:altName w:val="微软雅黑"/>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方正小标宋简体">
    <w:panose1 w:val="02000000000000000000"/>
    <w:charset w:val="86"/>
    <w:family w:val="auto"/>
    <w:pitch w:val="default"/>
    <w:sig w:usb0="A00002BF" w:usb1="184F6CFA" w:usb2="00000012" w:usb3="00000000" w:csb0="00040001" w:csb1="00000000"/>
    <w:embedRegular r:id="rId2" w:fontKey="{75B963AF-E269-41D7-97FE-2847A96EEA20}"/>
  </w:font>
  <w:font w:name="Wingdings 2">
    <w:panose1 w:val="050201020105070707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288CFF">
    <w:pPr>
      <w:pStyle w:val="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FF558">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048FF558">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165"/>
    <w:rsid w:val="00031165"/>
    <w:rsid w:val="0037319A"/>
    <w:rsid w:val="005123E3"/>
    <w:rsid w:val="005D78D3"/>
    <w:rsid w:val="005F7FC1"/>
    <w:rsid w:val="006022A5"/>
    <w:rsid w:val="006B55D6"/>
    <w:rsid w:val="00727B81"/>
    <w:rsid w:val="007E416A"/>
    <w:rsid w:val="00971413"/>
    <w:rsid w:val="00B40E5B"/>
    <w:rsid w:val="00C23A47"/>
    <w:rsid w:val="00EF0A52"/>
    <w:rsid w:val="00FA1DE6"/>
    <w:rsid w:val="035E7A16"/>
    <w:rsid w:val="06941DC6"/>
    <w:rsid w:val="19F6DA34"/>
    <w:rsid w:val="1C2838BF"/>
    <w:rsid w:val="1D485456"/>
    <w:rsid w:val="1F6B6AC0"/>
    <w:rsid w:val="1FFFE5BD"/>
    <w:rsid w:val="28CA642A"/>
    <w:rsid w:val="2BDF9E85"/>
    <w:rsid w:val="333FDE2C"/>
    <w:rsid w:val="3F67793C"/>
    <w:rsid w:val="42B0500A"/>
    <w:rsid w:val="4E7E31A0"/>
    <w:rsid w:val="56FBDE94"/>
    <w:rsid w:val="57F3806F"/>
    <w:rsid w:val="5A1866DC"/>
    <w:rsid w:val="5BCF7AD3"/>
    <w:rsid w:val="5D6737D9"/>
    <w:rsid w:val="5F7104CA"/>
    <w:rsid w:val="5FF7D9B7"/>
    <w:rsid w:val="61302E91"/>
    <w:rsid w:val="65E81C09"/>
    <w:rsid w:val="68FE2FAA"/>
    <w:rsid w:val="6AEFC613"/>
    <w:rsid w:val="6C0543DC"/>
    <w:rsid w:val="6C305F8D"/>
    <w:rsid w:val="6D7B6243"/>
    <w:rsid w:val="729F83BF"/>
    <w:rsid w:val="73AFC5D2"/>
    <w:rsid w:val="74EE481B"/>
    <w:rsid w:val="7BE7BF6D"/>
    <w:rsid w:val="7DEB5D9B"/>
    <w:rsid w:val="7EBF4FF9"/>
    <w:rsid w:val="7EF214DF"/>
    <w:rsid w:val="7F3FB076"/>
    <w:rsid w:val="7FA3E9E9"/>
    <w:rsid w:val="7FFC1E6F"/>
    <w:rsid w:val="95F7AE71"/>
    <w:rsid w:val="AFAFA80C"/>
    <w:rsid w:val="BEDDDA19"/>
    <w:rsid w:val="CD9D93A6"/>
    <w:rsid w:val="D2DFB62A"/>
    <w:rsid w:val="D7F3D222"/>
    <w:rsid w:val="D7FF1812"/>
    <w:rsid w:val="DBDD2C26"/>
    <w:rsid w:val="DDC75C74"/>
    <w:rsid w:val="E7DF63B9"/>
    <w:rsid w:val="EFFFCDC6"/>
    <w:rsid w:val="EFFFCFFB"/>
    <w:rsid w:val="F4FFBB93"/>
    <w:rsid w:val="F57B7FA2"/>
    <w:rsid w:val="F9A4F9A6"/>
    <w:rsid w:val="FBA7009F"/>
    <w:rsid w:val="FBDF64D5"/>
    <w:rsid w:val="FBEF3ABD"/>
    <w:rsid w:val="FDEECDC1"/>
    <w:rsid w:val="FDF4B82A"/>
    <w:rsid w:val="FDF7CF12"/>
    <w:rsid w:val="FEFE7C39"/>
    <w:rsid w:val="FF5F2A4D"/>
    <w:rsid w:val="FFE730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ind w:firstLine="200" w:firstLineChars="200"/>
    </w:pPr>
    <w:rPr>
      <w:rFonts w:ascii="仿宋" w:hAnsi="Calibri" w:eastAsia="仿宋" w:cs="Times New Roman"/>
      <w:sz w:val="30"/>
      <w:szCs w:val="30"/>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9">
    <w:name w:val="Hyperlink"/>
    <w:basedOn w:val="8"/>
    <w:qFormat/>
    <w:uiPriority w:val="0"/>
    <w:rPr>
      <w:color w:val="0000FF"/>
      <w:u w:val="single"/>
    </w:rPr>
  </w:style>
  <w:style w:type="character" w:customStyle="1" w:styleId="10">
    <w:name w:val="10"/>
    <w:basedOn w:val="8"/>
    <w:qFormat/>
    <w:uiPriority w:val="0"/>
    <w:rPr>
      <w:rFonts w:hint="default" w:ascii="Times New Roman" w:hAnsi="Times New Roman" w:cs="Times New Roman"/>
    </w:rPr>
  </w:style>
  <w:style w:type="character" w:customStyle="1" w:styleId="11">
    <w:name w:val="15"/>
    <w:basedOn w:val="8"/>
    <w:qFormat/>
    <w:uiPriority w:val="0"/>
    <w:rPr>
      <w:rFonts w:hint="default" w:ascii="Times New Roman" w:hAnsi="Times New Roman" w:cs="Times New Roman"/>
      <w:b/>
    </w:rPr>
  </w:style>
  <w:style w:type="paragraph" w:customStyle="1" w:styleId="12">
    <w:name w:val="指南标题3"/>
    <w:qFormat/>
    <w:uiPriority w:val="0"/>
    <w:pPr>
      <w:keepNext/>
      <w:keepLines/>
      <w:widowControl w:val="0"/>
      <w:spacing w:line="360" w:lineRule="auto"/>
      <w:outlineLvl w:val="2"/>
    </w:pPr>
    <w:rPr>
      <w:rFonts w:ascii="仿宋" w:hAnsi="宋体" w:eastAsia="仿宋" w:cs="Times New Roman"/>
      <w:b/>
      <w:color w:val="000000"/>
      <w:kern w:val="2"/>
      <w:sz w:val="32"/>
      <w:szCs w:val="32"/>
      <w:lang w:val="en-US" w:eastAsia="zh-CN" w:bidi="ar-SA"/>
    </w:rPr>
  </w:style>
  <w:style w:type="paragraph" w:customStyle="1" w:styleId="13">
    <w:name w:val="Table Text"/>
    <w:basedOn w:val="1"/>
    <w:hidden/>
    <w:qFormat/>
    <w:uiPriority w:val="0"/>
    <w:pPr>
      <w:spacing w:before="127" w:line="360" w:lineRule="auto"/>
      <w:jc w:val="center"/>
    </w:pPr>
    <w:rPr>
      <w:rFonts w:ascii="仿宋" w:hAnsi="仿宋" w:eastAsia="仿宋" w:cs="Times New Roman"/>
      <w:sz w:val="28"/>
      <w:szCs w:val="28"/>
    </w:rPr>
  </w:style>
  <w:style w:type="paragraph" w:customStyle="1" w:styleId="14">
    <w:name w:val="指南标题2"/>
    <w:qFormat/>
    <w:uiPriority w:val="0"/>
    <w:pPr>
      <w:keepNext/>
      <w:keepLines/>
      <w:widowControl w:val="0"/>
      <w:spacing w:line="360" w:lineRule="auto"/>
      <w:outlineLvl w:val="1"/>
    </w:pPr>
    <w:rPr>
      <w:rFonts w:ascii="黑体" w:hAnsi="Microsoft YaHei UI" w:eastAsia="黑体" w:cs="Times New Roman"/>
      <w:b/>
      <w:color w:val="000000"/>
      <w:kern w:val="2"/>
      <w:sz w:val="32"/>
      <w:szCs w:val="32"/>
      <w:lang w:val="en-US" w:eastAsia="zh-CN" w:bidi="ar-SA"/>
    </w:rPr>
  </w:style>
  <w:style w:type="character" w:customStyle="1" w:styleId="15">
    <w:name w:val="17"/>
    <w:basedOn w:val="8"/>
    <w:qFormat/>
    <w:uiPriority w:val="0"/>
    <w:rPr>
      <w:rFonts w:hint="default" w:ascii="方正黑体_GBK" w:hAnsi="方正黑体_GBK" w:eastAsia="方正黑体_GBK" w:cs="方正黑体_GBK"/>
      <w:color w:val="FF0000"/>
      <w:sz w:val="24"/>
      <w:szCs w:val="24"/>
    </w:rPr>
  </w:style>
  <w:style w:type="character" w:customStyle="1" w:styleId="16">
    <w:name w:val="18"/>
    <w:basedOn w:val="8"/>
    <w:qFormat/>
    <w:uiPriority w:val="0"/>
    <w:rPr>
      <w:rFonts w:hint="eastAsia" w:ascii="宋体" w:hAnsi="宋体" w:eastAsia="宋体" w:cs="宋体"/>
      <w:color w:val="0070C0"/>
      <w:sz w:val="22"/>
      <w:szCs w:val="22"/>
    </w:rPr>
  </w:style>
  <w:style w:type="character" w:customStyle="1" w:styleId="17">
    <w:name w:val="16"/>
    <w:basedOn w:val="8"/>
    <w:qFormat/>
    <w:uiPriority w:val="0"/>
    <w:rPr>
      <w:rFonts w:hint="default" w:ascii="Times New Roman" w:hAnsi="Times New Roman" w:cs="Times New Roman"/>
      <w:color w:val="800080"/>
      <w:u w:val="single"/>
    </w:rPr>
  </w:style>
  <w:style w:type="paragraph" w:customStyle="1" w:styleId="18">
    <w:name w:val="正文-公1"/>
    <w:basedOn w:val="1"/>
    <w:qFormat/>
    <w:uiPriority w:val="0"/>
    <w:pPr>
      <w:spacing w:line="360" w:lineRule="auto"/>
      <w:ind w:firstLine="200" w:firstLineChars="200"/>
    </w:pPr>
    <w:rPr>
      <w:rFonts w:ascii="仿宋" w:hAnsi="Calibri" w:eastAsia="仿宋" w:cs="Times New Roman"/>
      <w:sz w:val="32"/>
      <w:szCs w:val="32"/>
    </w:rPr>
  </w:style>
  <w:style w:type="paragraph" w:customStyle="1" w:styleId="19">
    <w:name w:val="指南标题1"/>
    <w:qFormat/>
    <w:uiPriority w:val="0"/>
    <w:pPr>
      <w:keepNext/>
      <w:keepLines/>
      <w:widowControl w:val="0"/>
      <w:spacing w:after="120" w:line="360" w:lineRule="auto"/>
      <w:jc w:val="center"/>
      <w:outlineLvl w:val="0"/>
    </w:pPr>
    <w:rPr>
      <w:rFonts w:ascii="方正小标宋简体" w:hAnsi="Microsoft YaHei UI" w:eastAsia="方正小标宋简体" w:cs="Times New Roman"/>
      <w:b/>
      <w:color w:val="000000"/>
      <w:kern w:val="44"/>
      <w:sz w:val="36"/>
      <w:szCs w:val="36"/>
      <w:lang w:val="en-US" w:eastAsia="zh-CN" w:bidi="ar-SA"/>
    </w:rPr>
  </w:style>
  <w:style w:type="paragraph" w:customStyle="1" w:styleId="20">
    <w:name w:val="指南标题"/>
    <w:basedOn w:val="1"/>
    <w:qFormat/>
    <w:uiPriority w:val="0"/>
    <w:pPr>
      <w:spacing w:line="360" w:lineRule="auto"/>
      <w:ind w:left="1433" w:hanging="1433" w:hangingChars="398"/>
      <w:jc w:val="center"/>
    </w:pPr>
    <w:rPr>
      <w:rFonts w:ascii="方正小标宋简体" w:hAnsi="微软雅黑" w:eastAsia="方正小标宋简体" w:cs="Times New Roman"/>
      <w:sz w:val="36"/>
      <w:szCs w:val="36"/>
    </w:rPr>
  </w:style>
  <w:style w:type="table" w:customStyle="1" w:styleId="21">
    <w:name w:val="Table Normal1"/>
    <w:basedOn w:val="6"/>
    <w:qFormat/>
    <w:uiPriority w:val="0"/>
    <w:tblPr>
      <w:tblCellMar>
        <w:left w:w="0" w:type="dxa"/>
        <w:right w:w="0" w:type="dxa"/>
      </w:tblCellMar>
    </w:tblPr>
  </w:style>
  <w:style w:type="character" w:customStyle="1" w:styleId="22">
    <w:name w:val="font61"/>
    <w:basedOn w:val="8"/>
    <w:autoRedefine/>
    <w:qFormat/>
    <w:uiPriority w:val="0"/>
    <w:rPr>
      <w:rFonts w:hint="default" w:ascii="方正黑体_GBK" w:hAnsi="方正黑体_GBK" w:eastAsia="方正黑体_GBK" w:cs="方正黑体_GBK"/>
      <w:color w:val="FF0000"/>
      <w:sz w:val="24"/>
      <w:szCs w:val="24"/>
      <w:u w:val="none"/>
    </w:rPr>
  </w:style>
  <w:style w:type="character" w:customStyle="1" w:styleId="23">
    <w:name w:val="font31"/>
    <w:basedOn w:val="8"/>
    <w:autoRedefine/>
    <w:qFormat/>
    <w:uiPriority w:val="0"/>
    <w:rPr>
      <w:rFonts w:hint="eastAsia" w:ascii="宋体" w:hAnsi="宋体" w:eastAsia="宋体" w:cs="宋体"/>
      <w:color w:val="0070C0"/>
      <w:sz w:val="22"/>
      <w:szCs w:val="22"/>
      <w:u w:val="none"/>
    </w:rPr>
  </w:style>
  <w:style w:type="paragraph" w:customStyle="1" w:styleId="24">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942</Words>
  <Characters>997</Characters>
  <Lines>11</Lines>
  <Paragraphs>3</Paragraphs>
  <TotalTime>0</TotalTime>
  <ScaleCrop>false</ScaleCrop>
  <LinksUpToDate>false</LinksUpToDate>
  <CharactersWithSpaces>1441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2025-06-04T12:42:00Z</dcterms:created>
  <dc:creator/>
  <cp:lastModifiedBy/>
  <dcterms:modified xsi:type="dcterms:W3CDTF">2026-06-26T10:42:36Z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eyJoZGlkIjoiMjBmMzg2ZmFkMDc5YmExYmZmYjEyYjAyOWU2M2ViOWYiLCJ1c2VySWQiOiIxNDc1MjUxMTM2In0=</vt:lpwstr>
  </property>
  <property fmtid="{D5CDD505-2E9C-101B-9397-08002B2CF9AE}" pid="4" name="ICV">
    <vt:lpwstr>C02EA66F6F0A4479B5F2E58D00BF7643_13</vt:lpwstr>
  </property>
</Properties>
</file>