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5F233D7">
      <w:pPr>
        <w:spacing w:line="360" w:lineRule="auto"/>
        <w:ind w:left="1114" w:hanging="1114" w:hangingChars="398"/>
        <w:jc w:val="left"/>
        <w:rPr>
          <w:rFonts w:ascii="Times New Roman" w:hAnsi="Times New Roman" w:eastAsia="仿宋" w:cs="Times New Roman"/>
          <w:sz w:val="28"/>
          <w:szCs w:val="28"/>
        </w:rPr>
      </w:pPr>
      <w:r>
        <w:rPr>
          <w:rFonts w:hint="eastAsia" w:ascii="Times New Roman" w:hAnsi="Times New Roman" w:eastAsia="仿宋" w:cs="Times New Roman"/>
          <w:sz w:val="28"/>
          <w:szCs w:val="28"/>
        </w:rPr>
        <w:t>附件</w:t>
      </w:r>
      <w:r>
        <w:rPr>
          <w:rFonts w:ascii="Times New Roman" w:hAnsi="Times New Roman" w:eastAsia="仿宋" w:cs="Times New Roman"/>
          <w:sz w:val="28"/>
          <w:szCs w:val="28"/>
        </w:rPr>
        <w:t>3</w:t>
      </w:r>
      <w:r>
        <w:rPr>
          <w:rFonts w:hint="eastAsia" w:ascii="Times New Roman" w:hAnsi="Times New Roman" w:eastAsia="仿宋" w:cs="Times New Roman"/>
          <w:sz w:val="28"/>
          <w:szCs w:val="28"/>
        </w:rPr>
        <w:t>：</w:t>
      </w:r>
    </w:p>
    <w:p w14:paraId="609A88A8">
      <w:pPr>
        <w:widowControl/>
        <w:spacing w:line="360" w:lineRule="auto"/>
        <w:jc w:val="center"/>
        <w:rPr>
          <w:rFonts w:ascii="方正小标宋简体" w:hAnsi="方正小标宋简体" w:eastAsia="方正小标宋简体" w:cs="方正小标宋简体"/>
          <w:sz w:val="36"/>
          <w:szCs w:val="36"/>
        </w:rPr>
      </w:pPr>
      <w:bookmarkStart w:id="0" w:name="_Toc479323341"/>
      <w:r>
        <w:rPr>
          <w:rFonts w:hint="eastAsia" w:ascii="方正小标宋简体" w:hAnsi="方正小标宋简体" w:eastAsia="方正小标宋简体" w:cs="方正小标宋简体"/>
          <w:sz w:val="36"/>
          <w:szCs w:val="36"/>
        </w:rPr>
        <w:t>第</w:t>
      </w:r>
      <w:r>
        <w:rPr>
          <w:rFonts w:hint="eastAsia" w:ascii="方正小标宋简体" w:hAnsi="方正小标宋简体" w:eastAsia="方正小标宋简体" w:cs="方正小标宋简体"/>
          <w:sz w:val="36"/>
          <w:szCs w:val="36"/>
          <w:lang w:eastAsia="zh-Hans"/>
        </w:rPr>
        <w:t>十二</w:t>
      </w:r>
      <w:r>
        <w:rPr>
          <w:rFonts w:hint="eastAsia" w:ascii="方正小标宋简体" w:hAnsi="方正小标宋简体" w:eastAsia="方正小标宋简体" w:cs="方正小标宋简体"/>
          <w:sz w:val="36"/>
          <w:szCs w:val="36"/>
        </w:rPr>
        <w:t>届中国研究生智慧城市技术与创意设计大赛</w:t>
      </w:r>
    </w:p>
    <w:p w14:paraId="46070F9E">
      <w:pPr>
        <w:spacing w:line="360" w:lineRule="auto"/>
        <w:ind w:left="210" w:leftChars="100" w:right="210" w:rightChars="100"/>
        <w:jc w:val="center"/>
        <w:rPr>
          <w:rFonts w:ascii="方正小标宋简体" w:hAnsi="方正小标宋简体" w:eastAsia="方正小标宋简体" w:cs="方正小标宋简体"/>
          <w:sz w:val="36"/>
          <w:szCs w:val="36"/>
        </w:rPr>
      </w:pPr>
      <w:bookmarkStart w:id="1" w:name="_Toc108088509"/>
      <w:bookmarkStart w:id="2" w:name="_Toc7210848"/>
      <w:r>
        <w:rPr>
          <w:rFonts w:hint="eastAsia" w:ascii="方正小标宋简体" w:hAnsi="方正小标宋简体" w:eastAsia="方正小标宋简体" w:cs="方正小标宋简体"/>
          <w:sz w:val="36"/>
          <w:szCs w:val="36"/>
        </w:rPr>
        <w:t>创意设计赛项目商业计划书</w:t>
      </w:r>
      <w:bookmarkEnd w:id="1"/>
      <w:bookmarkEnd w:id="2"/>
    </w:p>
    <w:p w14:paraId="02836DAA">
      <w:pPr>
        <w:widowControl/>
        <w:spacing w:line="360" w:lineRule="auto"/>
        <w:jc w:val="center"/>
        <w:rPr>
          <w:rFonts w:ascii="Times New Roman" w:hAnsi="Times New Roman" w:eastAsia="仿宋" w:cs="Times New Roman"/>
          <w:sz w:val="28"/>
          <w:szCs w:val="36"/>
        </w:rPr>
      </w:pPr>
      <w:bookmarkEnd w:id="0"/>
      <w:r>
        <w:rPr>
          <w:rFonts w:hint="eastAsia" w:ascii="Times New Roman" w:hAnsi="Times New Roman" w:eastAsia="仿宋" w:cs="Times New Roman"/>
          <w:sz w:val="28"/>
          <w:szCs w:val="36"/>
          <w:color w:val="000000"/>
        </w:rPr>
        <w:t xml:space="preserve">乡艺有据——可信非遗体验编排智能体</w:t>
      </w:r>
    </w:p>
    <w:p w14:paraId="268B5F66">
      <w:pPr>
        <w:widowControl/>
        <w:spacing w:line="360" w:lineRule="auto"/>
        <w:ind w:firstLine="602" w:firstLineChars="200"/>
        <w:jc w:val="center"/>
        <w:rPr>
          <w:rFonts w:ascii="Times New Roman" w:hAnsi="Times New Roman" w:eastAsia="仿宋" w:cs="Times New Roman"/>
          <w:b/>
          <w:sz w:val="30"/>
          <w:szCs w:val="30"/>
        </w:rPr>
      </w:pPr>
    </w:p>
    <w:p w14:paraId="36E44C21">
      <w:pPr>
        <w:widowControl/>
        <w:spacing w:line="360" w:lineRule="auto"/>
        <w:rPr>
          <w:rFonts w:ascii="Times New Roman" w:hAnsi="Times New Roman" w:eastAsia="仿宋" w:cs="Times New Roman"/>
          <w:b/>
          <w:sz w:val="28"/>
          <w:szCs w:val="28"/>
        </w:rPr>
        <w:keepNext/>
      </w:pPr>
      <w:r>
        <w:rPr>
          <w:rFonts w:hint="eastAsia" w:ascii="Times New Roman" w:hAnsi="Times New Roman" w:eastAsia="仿宋" w:cs="Times New Roman"/>
          <w:b/>
          <w:sz w:val="28"/>
          <w:szCs w:val="28"/>
        </w:rPr>
        <w:t>一、项目方案概述</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200</w:t>
      </w:r>
      <w:r>
        <w:rPr>
          <w:rFonts w:hint="eastAsia" w:ascii="Times New Roman" w:hAnsi="Times New Roman" w:eastAsia="仿宋" w:cs="Times New Roman"/>
          <w:sz w:val="28"/>
          <w:szCs w:val="28"/>
        </w:rPr>
        <w:t>字）</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乡艺有据为乡村工坊及研学组织者提供可信非遗体验编排，让非遗不止被看见，更能被体验：核对带地域的文化文案，依据预算、时长和接待资源组合活动，生成分众讲解及游客、组织者双版体验包。采用本地模型与程序校验，人工确认后交付；来源或素材撤回可追踪更新。现以金山区公开剪纸活动资料重建为外部案例，蔚县剪纸仍为回归案例，公告历史条件与团队演示条件分开，报价与报酬均为演示测算。</w:t>
      </w:r>
    </w:p>
    <w:p w14:paraId="333CAF99">
      <w:pPr>
        <w:widowControl/>
        <w:spacing w:line="360" w:lineRule="auto"/>
        <w:rPr>
          <w:rFonts w:ascii="Times New Roman" w:hAnsi="Times New Roman" w:eastAsia="仿宋" w:cs="Times New Roman"/>
          <w:b/>
          <w:sz w:val="28"/>
          <w:szCs w:val="28"/>
        </w:rPr>
        <w:keepNext/>
      </w:pPr>
      <w:r>
        <w:rPr>
          <w:rFonts w:hint="eastAsia" w:ascii="Times New Roman" w:hAnsi="Times New Roman" w:eastAsia="仿宋" w:cs="Times New Roman"/>
          <w:b/>
          <w:sz w:val="28"/>
          <w:szCs w:val="28"/>
        </w:rPr>
        <w:t>二、项目团队</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200</w:t>
      </w:r>
      <w:r>
        <w:rPr>
          <w:rFonts w:hint="eastAsia" w:ascii="Times New Roman" w:hAnsi="Times New Roman" w:eastAsia="仿宋" w:cs="Times New Roman"/>
          <w:sz w:val="28"/>
          <w:szCs w:val="28"/>
        </w:rPr>
        <w:t>字）</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拟按文化资料与使用边界、模型与后端、前端与交付、测试与运营核对四类职责组织协作，可由成员兼任。实际队员人数、分工经历、指导关系及投入时间待补，并按平台要求核对匿名与身份栏目。尚无经确认的文化顾问、合作工坊或经营导师，不列虚构成员及合作背书。</w:t>
      </w:r>
    </w:p>
    <w:p w14:paraId="011AC5C9">
      <w:pPr>
        <w:widowControl/>
        <w:spacing w:line="360" w:lineRule="auto"/>
        <w:rPr>
          <w:rFonts w:ascii="Times New Roman" w:hAnsi="Times New Roman" w:eastAsia="仿宋" w:cs="Times New Roman"/>
          <w:b/>
          <w:sz w:val="28"/>
          <w:szCs w:val="28"/>
        </w:rPr>
        <w:keepNext/>
      </w:pPr>
      <w:r>
        <w:rPr>
          <w:rFonts w:hint="eastAsia" w:ascii="Times New Roman" w:hAnsi="Times New Roman" w:eastAsia="仿宋" w:cs="Times New Roman"/>
          <w:b/>
          <w:sz w:val="28"/>
          <w:szCs w:val="28"/>
        </w:rPr>
        <w:t>三、项目产品（服务）化（</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2000</w:t>
      </w:r>
      <w:r>
        <w:rPr>
          <w:rFonts w:hint="eastAsia" w:ascii="Times New Roman" w:hAnsi="Times New Roman" w:eastAsia="仿宋" w:cs="Times New Roman"/>
          <w:sz w:val="28"/>
          <w:szCs w:val="28"/>
        </w:rPr>
        <w:t>字）</w:t>
      </w:r>
    </w:p>
    <w:p w14:paraId="08BA3715">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1.</w:t>
      </w:r>
      <w:r>
        <w:rPr>
          <w:rFonts w:hint="eastAsia" w:ascii="Times New Roman" w:hAnsi="Times New Roman" w:eastAsia="仿宋" w:cs="Times New Roman"/>
          <w:sz w:val="28"/>
          <w:szCs w:val="28"/>
        </w:rPr>
        <w:t>项目产品（服务）特性</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产品交付单位是一份经确认的体验包。工作人员在三页界面沿金山区公开活动资料重建的同一场剪纸体验完成内容核验、方案比较和交付。游客版提供可读的短讲解、观察任务、互动提问和日程；组织者版附证据、原文修订、经营账本、资源占用、使用边界和版本记录。它适合帮助已有文化主题和场地的组织者备课、核算与更新活动，不承担支付、订单承诺、资格认证或现场安全处置。</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当前资料范围包括金山区政府原始公告的四个必要短摘录及既有官方文化页面，经营层为八个同场地演示模块；原轻、深套餐保留。文化陈述区分支持、矛盾、分歧与不足，教学创意明确标识。来源与素材状态变化能够定位受影响内容并撤销旧确认。自然语言偏好只在支持的结构化范围内应用，必要条件冲突要求确认，资源无解时给出具体原因。</w:t>
      </w:r>
    </w:p>
    <w:p w14:paraId="4134301F">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2.</w:t>
      </w:r>
      <w:r>
        <w:rPr>
          <w:rFonts w:hint="eastAsia" w:ascii="Times New Roman" w:hAnsi="Times New Roman" w:eastAsia="仿宋" w:cs="Times New Roman"/>
          <w:sz w:val="28"/>
          <w:szCs w:val="28"/>
        </w:rPr>
        <w:t>产品（服务）化实施计划</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首批用户拟为有固定场地、已有讲解或手作人员的小型乡村工坊、研学组织者和文旅服务机构。第一阶段交付资料整理、来源—陈述—讲解卡关联、8模块配置和两版体验包；第二阶段提供本地部署培训与按期维护。一次性配置费覆盖资料与模块初始化，维护费覆盖来源、报价、素材状态和版本更新，具体收费待访谈验证。</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先以一个地区、一个项目和少量场次试用，记录备课时间、返工、材料消耗、服务方结算及旧包停用情况；对象及合作状态待落实，不将邀请计划写成已签约。取得真实反馈、授权和责任边界后，再评估扩展相邻场地或其他非遗项目。</w:t>
      </w:r>
    </w:p>
    <w:p w14:paraId="309856B1">
      <w:pPr>
        <w:widowControl/>
        <w:spacing w:line="360" w:lineRule="auto"/>
        <w:rPr>
          <w:rFonts w:ascii="Times New Roman" w:hAnsi="Times New Roman" w:eastAsia="仿宋" w:cs="Times New Roman"/>
          <w:b/>
          <w:sz w:val="28"/>
          <w:szCs w:val="28"/>
        </w:rPr>
        <w:keepNext/>
      </w:pPr>
      <w:r>
        <w:rPr>
          <w:rFonts w:hint="eastAsia" w:ascii="Times New Roman" w:hAnsi="Times New Roman" w:eastAsia="仿宋" w:cs="Times New Roman"/>
          <w:b/>
          <w:sz w:val="28"/>
          <w:szCs w:val="28"/>
        </w:rPr>
        <w:t>四、项目产品（服务）市场与竞争</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2000</w:t>
      </w:r>
      <w:r>
        <w:rPr>
          <w:rFonts w:hint="eastAsia" w:ascii="Times New Roman" w:hAnsi="Times New Roman" w:eastAsia="仿宋" w:cs="Times New Roman"/>
          <w:sz w:val="28"/>
          <w:szCs w:val="28"/>
        </w:rPr>
        <w:t>字）</w:t>
      </w:r>
    </w:p>
    <w:p w14:paraId="12365825">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1.</w:t>
      </w:r>
      <w:r>
        <w:rPr>
          <w:rFonts w:hint="eastAsia" w:ascii="Times New Roman" w:hAnsi="Times New Roman" w:eastAsia="仿宋" w:cs="Times New Roman"/>
          <w:sz w:val="28"/>
          <w:szCs w:val="28"/>
        </w:rPr>
        <w:t>市场概述</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首批用户拟为乡村工坊负责人、研学组织者和文旅服务机构的内容与接待岗位；游客是体验包的阅读者和参与者。优先选择已有固定场地、服务人员和小规模客流、又常调整客群或预算的组织者。当前没有用户访谈样本、真实订单、采购预算或可验证市场规模，不填写市场份额、行业增速和客户名单。</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市场验证将记录一次活动的文案纠错、备课与改排时间、返工类型、资料更新责任、维护意愿和可接受收费区间，并保留日期及知情同意。只有取得真实数据后，才能确定客户类型与收费方式。</w:t>
      </w:r>
    </w:p>
    <w:p w14:paraId="4060CB3C">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2.</w:t>
      </w:r>
      <w:r>
        <w:rPr>
          <w:rFonts w:hint="eastAsia" w:ascii="Times New Roman" w:hAnsi="Times New Roman" w:eastAsia="仿宋" w:cs="Times New Roman"/>
          <w:sz w:val="28"/>
          <w:szCs w:val="28"/>
        </w:rPr>
        <w:t>竞争优势分析</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拟比较三类替代方式：人工查资料并用表格排活动；通用大模型对话生成文案；仅按固定步骤执行的同模型工作流。比较维度为事实可定位、明确偏好落地、金额与日程复算、资源冲突解释、人工确认和撤回后更新。前两类尚未完成规范对比，不能写成已经优于某品牌或人工。</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旧六条首次内部验收仅2条完全符合预期，失败原样保留；修复后的回归6条符合预期。3833ce1冻结版的24条新输入首跑：有界流程完整交付、必要确认、具体正确拒绝分别12/12、6/6、5/6，固定流程10/12、5/6、3/6；对应98/78次调用，任务中位耗时4.523/2.209秒。该首跑是同一协作团队的小规模内部验证，不称独立第三方评测或通用准确率。随后候选版本仅修复“总时间”作用范围，并将同24条输入按两流程各复跑一次：Agent为11/12、6/6、6/6，fixed为9/12、5/6、4/6；SH-06保留模型/执行故障，未重试。两组数字按版本分开记录，不混用、不挑最佳一次。 详细逐例结果与哈希见版本回归记录。</w:t>
      </w:r>
    </w:p>
    <w:p w14:paraId="0E4F397E">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3.</w:t>
      </w:r>
      <w:r>
        <w:rPr>
          <w:rFonts w:hint="eastAsia" w:ascii="Times New Roman" w:hAnsi="Times New Roman" w:eastAsia="仿宋" w:cs="Times New Roman"/>
          <w:sz w:val="28"/>
          <w:szCs w:val="28"/>
        </w:rPr>
        <w:t>项目实施风险及应对措施</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文化失真风险：限定地域及证据边界，邀请地方文化人员核对，有分歧不强行定论。经营兑现风险：报价、人员及容量由经营者提供，演示数据不得直接用于销售承诺。素材权利风险：公开事实与图片授权分别管理，未明确使用范围时停止相应展示，撤回后使旧确认失效。</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模型与硬件风险：本地推理仍会误解需求，保留程序约束、确认入口和真实故障提示；不同电脑的速度和显存需实测。维护风险：资料与报价会变化，应明确维护人、周期和版本；未建立责任机制前不扩大范围。合规风险：匿名源码材料及公开开发仓库与赛事首次发表条款的适用关系待核实，不将当前公开仓库直接当成匿名交件。</w:t>
      </w:r>
    </w:p>
    <w:p w14:paraId="1A4327CD">
      <w:pPr>
        <w:widowControl/>
        <w:spacing w:line="360" w:lineRule="auto"/>
        <w:rPr>
          <w:rFonts w:ascii="Times New Roman" w:hAnsi="Times New Roman" w:eastAsia="仿宋" w:cs="Times New Roman"/>
          <w:b/>
          <w:sz w:val="28"/>
          <w:szCs w:val="28"/>
        </w:rPr>
        <w:keepNext/>
      </w:pPr>
      <w:r>
        <w:rPr>
          <w:rFonts w:hint="eastAsia" w:ascii="Times New Roman" w:hAnsi="Times New Roman" w:eastAsia="仿宋" w:cs="Times New Roman"/>
          <w:b/>
          <w:sz w:val="28"/>
          <w:szCs w:val="28"/>
        </w:rPr>
        <w:t>五、商业模式</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2000</w:t>
      </w:r>
      <w:r>
        <w:rPr>
          <w:rFonts w:hint="eastAsia" w:ascii="Times New Roman" w:hAnsi="Times New Roman" w:eastAsia="仿宋" w:cs="Times New Roman"/>
          <w:sz w:val="28"/>
          <w:szCs w:val="28"/>
        </w:rPr>
        <w:t>字）</w:t>
      </w:r>
    </w:p>
    <w:p w14:paraId="600EA843">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1.</w:t>
      </w:r>
      <w:r>
        <w:rPr>
          <w:rFonts w:hint="eastAsia" w:ascii="Times New Roman" w:hAnsi="Times New Roman" w:eastAsia="仿宋" w:cs="Times New Roman"/>
          <w:sz w:val="28"/>
          <w:szCs w:val="28"/>
        </w:rPr>
        <w:t>项目产品（服务）的开发、生产（服务）策略</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采用可本地运行的开源技术栈，模型、资料、经营配置和界面分层维护。拟以“部署配置—资料整理—活动模块配置—人员培训—持续更新”交付服务，先做可复用模板，必要时由客户在本地保管经营资料。基础模型与第三方组件遵守各自许可，不销售其排他所有权；本项目原创范围为工作流、数据关联、校验规则、界面及交付实现。</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每个新场地应建立可核对的接待配置，并确认人员角色、容量、时间、收费及素材使用范围，未经确认不公开售卖活动。部署及后续维护成本分别记录，避免将文化人员的审核劳动隐藏在“AI自动完成”描述中。</w:t>
      </w:r>
    </w:p>
    <w:p w14:paraId="2BA4261A">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2.</w:t>
      </w:r>
      <w:r>
        <w:rPr>
          <w:rFonts w:hint="eastAsia" w:ascii="Times New Roman" w:hAnsi="Times New Roman" w:eastAsia="仿宋" w:cs="Times New Roman"/>
          <w:sz w:val="28"/>
          <w:szCs w:val="28"/>
        </w:rPr>
        <w:t>项目产品（服务）的营销策略</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拟用金山区公开活动案例与三个可现场改输入的演示进行沟通：地域纠错、偏好与预算重排、素材撤回后的包更新。展示失败及边界，让潜在用户判断是否适合自身流程。先收集少量真实试用反馈，再制作经授权的案例；不预先使用合作单位标识，不宣称政府采购、传承人背书或已签客户。</w:t>
      </w:r>
    </w:p>
    <w:p w14:paraId="13A23AEF">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3.</w:t>
      </w:r>
      <w:r>
        <w:rPr>
          <w:rFonts w:hint="eastAsia" w:ascii="Times New Roman" w:hAnsi="Times New Roman" w:eastAsia="仿宋" w:cs="Times New Roman"/>
          <w:sz w:val="28"/>
          <w:szCs w:val="28"/>
        </w:rPr>
        <w:t>项目产品（服务）获利方式</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拟探索“一次性部署与资料/模块配置费＋按期维护与培训费”的服务收费逻辑；若客户需要运营协助，再按实际场次提供可选支持。体验活动中讲解、手作教学人员的服务报酬与软件服务费分别核算，不以售卖非遗真实性背书获利。具体价格、续费率、客户数量和销售预测待访谈与试用验证。</w:t>
      </w:r>
    </w:p>
    <w:p w14:paraId="3074D8A5">
      <w:pPr>
        <w:widowControl/>
        <w:snapToGrid w:val="0"/>
        <w:spacing w:line="360" w:lineRule="auto"/>
        <w:ind w:firstLine="560" w:firstLineChars="200"/>
        <w:rPr>
          <w:rFonts w:ascii="Times New Roman" w:hAnsi="Times New Roman" w:eastAsia="仿宋" w:cs="Times New Roman"/>
          <w:sz w:val="28"/>
          <w:szCs w:val="28"/>
        </w:rPr>
        <w:keepNext/>
      </w:pPr>
      <w:r>
        <w:rPr>
          <w:rFonts w:ascii="Times New Roman" w:hAnsi="Times New Roman" w:eastAsia="仿宋" w:cs="Times New Roman"/>
          <w:sz w:val="28"/>
          <w:szCs w:val="28"/>
        </w:rPr>
        <w:t>4.</w:t>
      </w:r>
      <w:r>
        <w:rPr>
          <w:rFonts w:hint="eastAsia" w:ascii="Times New Roman" w:hAnsi="Times New Roman" w:eastAsia="仿宋" w:cs="Times New Roman"/>
          <w:sz w:val="28"/>
          <w:szCs w:val="28"/>
        </w:rPr>
        <w:t>（若创业）企业发展计划</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目前以参赛原型及应用验证为目标，尚未确认成立企业或融资计划。若后续获得持续需求，再评估运营主体、责任分工、知识产权、数据与服务协议、成本投入和现金流；相关主体、资金及合作文件均待补。</w:t>
      </w:r>
    </w:p>
    <w:p w14:paraId="7111C5F6">
      <w:pPr>
        <w:widowControl/>
        <w:spacing w:line="360" w:lineRule="auto"/>
        <w:rPr>
          <w:rFonts w:ascii="Times New Roman" w:hAnsi="Times New Roman" w:eastAsia="仿宋" w:cs="Times New Roman"/>
          <w:sz w:val="28"/>
          <w:szCs w:val="28"/>
        </w:rPr>
        <w:keepNext/>
      </w:pPr>
      <w:r>
        <w:rPr>
          <w:rFonts w:hint="eastAsia" w:ascii="Times New Roman" w:hAnsi="Times New Roman" w:eastAsia="仿宋" w:cs="Times New Roman"/>
          <w:b/>
          <w:sz w:val="28"/>
          <w:szCs w:val="28"/>
        </w:rPr>
        <w:t>六、预期经济效益分析</w:t>
      </w:r>
      <w:r>
        <w:rPr>
          <w:rFonts w:hint="eastAsia" w:ascii="Times New Roman" w:hAnsi="Times New Roman" w:eastAsia="仿宋" w:cs="Times New Roman"/>
          <w:sz w:val="28"/>
          <w:szCs w:val="28"/>
        </w:rPr>
        <w:t>（不超过</w:t>
      </w:r>
      <w:r>
        <w:rPr>
          <w:rFonts w:ascii="Times New Roman" w:hAnsi="Times New Roman" w:eastAsia="仿宋" w:cs="Times New Roman"/>
          <w:sz w:val="28"/>
          <w:szCs w:val="28"/>
        </w:rPr>
        <w:t>500</w:t>
      </w:r>
      <w:r>
        <w:rPr>
          <w:rFonts w:hint="eastAsia" w:ascii="Times New Roman" w:hAnsi="Times New Roman" w:eastAsia="仿宋" w:cs="Times New Roman"/>
          <w:sz w:val="28"/>
          <w:szCs w:val="28"/>
        </w:rPr>
        <w:t>字）</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演示情景（不是预测）：以8人、每人110元作为一次活动收款假设，则单场收入为880元；若每月4场，月度情景收入为3520元。成本必须按确认方案账本逐项扣除，包括在地讲解与手作服务报酬、材料耗材、组织成本、软件维护工时、设备折旧、电费、税费和售后；本仓库当前只具备前四类演示测算，缺少真实场次与维护工时，不能计算利润或回本期。</w:t>
      </w:r>
    </w:p>
    <w:p>
      <w:pPr>
        <w:widowControl/>
        <w:snapToGrid w:val="0"/>
        <w:spacing w:line="360" w:lineRule="auto"/>
        <w:ind w:firstLine="560" w:firstLineChars="200"/>
        <w:rPr>
          <w:rFonts w:ascii="Times New Roman" w:hAnsi="Times New Roman" w:eastAsia="仿宋" w:cs="Times New Roman"/>
          <w:sz w:val="28"/>
          <w:szCs w:val="28"/>
        </w:rPr>
      </w:pPr>
      <w:r>
        <w:rPr>
          <w:rFonts w:ascii="Times New Roman" w:hAnsi="Times New Roman" w:eastAsia="仿宋" w:cs="Times New Roman"/>
          <w:sz w:val="28"/>
          <w:szCs w:val="28"/>
          <w:color w:val="000000"/>
        </w:rPr>
        <w:t xml:space="preserve">八人轻体验784元/90分钟、深体验1080元/120分钟是已配置且可复算的演示例子，不是市场报价或营业收入。后续用真实客户数量、客单服务费、交付与维护工时、材料、税费及售后成本复核盈亏；生态与文化价值另行评价，不并入现金收益。</w:t>
      </w:r>
    </w:p>
    <w:p w14:paraId="69C78C76">
      <w:bookmarkStart w:id="3" w:name="_GoBack"/>
      <w:bookmarkEnd w:id="3"/>
    </w:p>
    <w:sectPr>
      <w:footerReference r:id="rId3" w:type="default"/>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仿宋">
    <w:panose1 w:val="02010609060101010101"/>
    <w:charset w:val="86"/>
    <w:family w:val="modern"/>
    <w:pitch w:val="default"/>
    <w:sig w:usb0="800002BF" w:usb1="38CF7CFA" w:usb2="00000016" w:usb3="00000000" w:csb0="00040001" w:csb1="00000000"/>
    <w:embedRegular r:id="rId1" w:fontKey="{8D0356CB-A0C7-4E57-BC15-CDE45039104F}"/>
  </w:font>
  <w:font w:name="Microsoft YaHei UI">
    <w:panose1 w:val="020B0503020204020204"/>
    <w:charset w:val="86"/>
    <w:family w:val="swiss"/>
    <w:pitch w:val="default"/>
    <w:sig w:usb0="80000287" w:usb1="2ACF3C50" w:usb2="00000016" w:usb3="00000000" w:csb0="0004001F" w:csb1="00000000"/>
  </w:font>
  <w:font w:name="方正黑体_GBK">
    <w:altName w:val="微软雅黑"/>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 w:name="方正小标宋简体">
    <w:panose1 w:val="02000000000000000000"/>
    <w:charset w:val="86"/>
    <w:family w:val="auto"/>
    <w:pitch w:val="default"/>
    <w:sig w:usb0="A00002BF" w:usb1="184F6CFA" w:usb2="00000012" w:usb3="00000000" w:csb0="00040001" w:csb1="00000000"/>
    <w:embedRegular r:id="rId2" w:fontKey="{75B963AF-E269-41D7-97FE-2847A96EEA20}"/>
  </w:font>
  <w:font w:name="Wingdings 2">
    <w:panose1 w:val="05020102010507070707"/>
    <w:charset w:val="02"/>
    <w:family w:val="roman"/>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288CFF">
    <w:pPr>
      <w:pStyle w:val="3"/>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48FF558">
                          <w:pPr>
                            <w:pStyle w:val="3"/>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048FF558">
                    <w:pPr>
                      <w:pStyle w:val="3"/>
                    </w:pPr>
                    <w:r>
                      <w:fldChar w:fldCharType="begin"/>
                    </w:r>
                    <w:r>
                      <w:instrText xml:space="preserve"> PAGE  \* MERGEFORMAT </w:instrText>
                    </w:r>
                    <w:r>
                      <w:fldChar w:fldCharType="separate"/>
                    </w:r>
                    <w:r>
                      <w:t>1</w:t>
                    </w:r>
                    <w:r>
                      <w:fldChar w:fldCharType="end"/>
                    </w:r>
                  </w:p>
                </w:txbxContent>
              </v:textbox>
            </v:shape>
          </w:pict>
        </mc:Fallback>
      </mc:AlternateConten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1"/>
  <w:bordersDoNotSurroundFooter w:val="1"/>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31165"/>
    <w:rsid w:val="00031165"/>
    <w:rsid w:val="0037319A"/>
    <w:rsid w:val="005123E3"/>
    <w:rsid w:val="005D78D3"/>
    <w:rsid w:val="005F7FC1"/>
    <w:rsid w:val="006022A5"/>
    <w:rsid w:val="006B55D6"/>
    <w:rsid w:val="00727B81"/>
    <w:rsid w:val="007E416A"/>
    <w:rsid w:val="00971413"/>
    <w:rsid w:val="00B40E5B"/>
    <w:rsid w:val="00C23A47"/>
    <w:rsid w:val="00EF0A52"/>
    <w:rsid w:val="00FA1DE6"/>
    <w:rsid w:val="035E7A16"/>
    <w:rsid w:val="06941DC6"/>
    <w:rsid w:val="19F6DA34"/>
    <w:rsid w:val="1C2838BF"/>
    <w:rsid w:val="1D485456"/>
    <w:rsid w:val="1F6B6AC0"/>
    <w:rsid w:val="1FFFE5BD"/>
    <w:rsid w:val="28CA642A"/>
    <w:rsid w:val="2BDF9E85"/>
    <w:rsid w:val="333FDE2C"/>
    <w:rsid w:val="3F67793C"/>
    <w:rsid w:val="42B0500A"/>
    <w:rsid w:val="4E7E31A0"/>
    <w:rsid w:val="56FBDE94"/>
    <w:rsid w:val="57F3806F"/>
    <w:rsid w:val="5A1866DC"/>
    <w:rsid w:val="5BCF7AD3"/>
    <w:rsid w:val="5D6737D9"/>
    <w:rsid w:val="5F7104CA"/>
    <w:rsid w:val="5FF7D9B7"/>
    <w:rsid w:val="61302E91"/>
    <w:rsid w:val="65E81C09"/>
    <w:rsid w:val="68FE2FAA"/>
    <w:rsid w:val="6AEFC613"/>
    <w:rsid w:val="6C0543DC"/>
    <w:rsid w:val="6C305F8D"/>
    <w:rsid w:val="6D7B6243"/>
    <w:rsid w:val="729F83BF"/>
    <w:rsid w:val="73AFC5D2"/>
    <w:rsid w:val="74EE481B"/>
    <w:rsid w:val="7BE7BF6D"/>
    <w:rsid w:val="7DEB5D9B"/>
    <w:rsid w:val="7EBF4FF9"/>
    <w:rsid w:val="7EF214DF"/>
    <w:rsid w:val="7F3FB076"/>
    <w:rsid w:val="7FA3E9E9"/>
    <w:rsid w:val="7FFC1E6F"/>
    <w:rsid w:val="95F7AE71"/>
    <w:rsid w:val="AFAFA80C"/>
    <w:rsid w:val="BEDDDA19"/>
    <w:rsid w:val="CD9D93A6"/>
    <w:rsid w:val="D2DFB62A"/>
    <w:rsid w:val="D7F3D222"/>
    <w:rsid w:val="D7FF1812"/>
    <w:rsid w:val="DBDD2C26"/>
    <w:rsid w:val="DDC75C74"/>
    <w:rsid w:val="E7DF63B9"/>
    <w:rsid w:val="EFFFCDC6"/>
    <w:rsid w:val="EFFFCFFB"/>
    <w:rsid w:val="F4FFBB93"/>
    <w:rsid w:val="F57B7FA2"/>
    <w:rsid w:val="F9A4F9A6"/>
    <w:rsid w:val="FBA7009F"/>
    <w:rsid w:val="FBDF64D5"/>
    <w:rsid w:val="FBEF3ABD"/>
    <w:rsid w:val="FDEECDC1"/>
    <w:rsid w:val="FDF4B82A"/>
    <w:rsid w:val="FDF7CF12"/>
    <w:rsid w:val="FEFE7C39"/>
    <w:rsid w:val="FF5F2A4D"/>
    <w:rsid w:val="FFE7304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Body Text"/>
    <w:basedOn w:val="1"/>
    <w:qFormat/>
    <w:uiPriority w:val="0"/>
    <w:pPr>
      <w:spacing w:line="360" w:lineRule="auto"/>
      <w:ind w:firstLine="200" w:firstLineChars="200"/>
    </w:pPr>
    <w:rPr>
      <w:rFonts w:ascii="仿宋" w:hAnsi="Calibri" w:eastAsia="仿宋" w:cs="Times New Roman"/>
      <w:sz w:val="30"/>
      <w:szCs w:val="30"/>
    </w:rPr>
  </w:style>
  <w:style w:type="paragraph" w:styleId="3">
    <w:name w:val="footer"/>
    <w:basedOn w:val="1"/>
    <w:qFormat/>
    <w:uiPriority w:val="0"/>
    <w:pPr>
      <w:tabs>
        <w:tab w:val="center" w:pos="4153"/>
        <w:tab w:val="right" w:pos="8306"/>
      </w:tabs>
      <w:snapToGrid w:val="0"/>
      <w:jc w:val="left"/>
    </w:pPr>
    <w:rPr>
      <w:sz w:val="18"/>
    </w:rPr>
  </w:style>
  <w:style w:type="paragraph" w:styleId="4">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5">
    <w:name w:val="Normal (Web)"/>
    <w:basedOn w:val="1"/>
    <w:qFormat/>
    <w:uiPriority w:val="0"/>
    <w:pPr>
      <w:spacing w:beforeAutospacing="1" w:afterAutospacing="1"/>
      <w:jc w:val="left"/>
    </w:pPr>
    <w:rPr>
      <w:rFonts w:cs="Times New Roman"/>
      <w:kern w:val="0"/>
      <w:sz w:val="24"/>
    </w:rPr>
  </w:style>
  <w:style w:type="table" w:styleId="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tcPr>
      <w:tcBorders>
        <w:top w:val="single" w:color="auto" w:sz="4" w:space="0"/>
        <w:left w:val="single" w:color="auto" w:sz="4" w:space="0"/>
        <w:bottom w:val="single" w:color="auto" w:sz="4" w:space="0"/>
        <w:right w:val="single" w:color="auto" w:sz="4" w:space="0"/>
      </w:tcBorders>
    </w:tcPr>
  </w:style>
  <w:style w:type="character" w:styleId="9">
    <w:name w:val="Hyperlink"/>
    <w:basedOn w:val="8"/>
    <w:qFormat/>
    <w:uiPriority w:val="0"/>
    <w:rPr>
      <w:color w:val="0000FF"/>
      <w:u w:val="single"/>
    </w:rPr>
  </w:style>
  <w:style w:type="character" w:customStyle="1" w:styleId="10">
    <w:name w:val="10"/>
    <w:basedOn w:val="8"/>
    <w:qFormat/>
    <w:uiPriority w:val="0"/>
    <w:rPr>
      <w:rFonts w:hint="default" w:ascii="Times New Roman" w:hAnsi="Times New Roman" w:cs="Times New Roman"/>
    </w:rPr>
  </w:style>
  <w:style w:type="character" w:customStyle="1" w:styleId="11">
    <w:name w:val="15"/>
    <w:basedOn w:val="8"/>
    <w:qFormat/>
    <w:uiPriority w:val="0"/>
    <w:rPr>
      <w:rFonts w:hint="default" w:ascii="Times New Roman" w:hAnsi="Times New Roman" w:cs="Times New Roman"/>
      <w:b/>
    </w:rPr>
  </w:style>
  <w:style w:type="paragraph" w:customStyle="1" w:styleId="12">
    <w:name w:val="指南标题3"/>
    <w:qFormat/>
    <w:uiPriority w:val="0"/>
    <w:pPr>
      <w:keepNext/>
      <w:keepLines/>
      <w:widowControl w:val="0"/>
      <w:spacing w:line="360" w:lineRule="auto"/>
      <w:outlineLvl w:val="2"/>
    </w:pPr>
    <w:rPr>
      <w:rFonts w:ascii="仿宋" w:hAnsi="宋体" w:eastAsia="仿宋" w:cs="Times New Roman"/>
      <w:b/>
      <w:color w:val="000000"/>
      <w:kern w:val="2"/>
      <w:sz w:val="32"/>
      <w:szCs w:val="32"/>
      <w:lang w:val="en-US" w:eastAsia="zh-CN" w:bidi="ar-SA"/>
    </w:rPr>
  </w:style>
  <w:style w:type="paragraph" w:customStyle="1" w:styleId="13">
    <w:name w:val="Table Text"/>
    <w:basedOn w:val="1"/>
    <w:hidden/>
    <w:qFormat/>
    <w:uiPriority w:val="0"/>
    <w:pPr>
      <w:spacing w:before="127" w:line="360" w:lineRule="auto"/>
      <w:jc w:val="center"/>
    </w:pPr>
    <w:rPr>
      <w:rFonts w:ascii="仿宋" w:hAnsi="仿宋" w:eastAsia="仿宋" w:cs="Times New Roman"/>
      <w:sz w:val="28"/>
      <w:szCs w:val="28"/>
    </w:rPr>
  </w:style>
  <w:style w:type="paragraph" w:customStyle="1" w:styleId="14">
    <w:name w:val="指南标题2"/>
    <w:qFormat/>
    <w:uiPriority w:val="0"/>
    <w:pPr>
      <w:keepNext/>
      <w:keepLines/>
      <w:widowControl w:val="0"/>
      <w:spacing w:line="360" w:lineRule="auto"/>
      <w:outlineLvl w:val="1"/>
    </w:pPr>
    <w:rPr>
      <w:rFonts w:ascii="黑体" w:hAnsi="Microsoft YaHei UI" w:eastAsia="黑体" w:cs="Times New Roman"/>
      <w:b/>
      <w:color w:val="000000"/>
      <w:kern w:val="2"/>
      <w:sz w:val="32"/>
      <w:szCs w:val="32"/>
      <w:lang w:val="en-US" w:eastAsia="zh-CN" w:bidi="ar-SA"/>
    </w:rPr>
  </w:style>
  <w:style w:type="character" w:customStyle="1" w:styleId="15">
    <w:name w:val="17"/>
    <w:basedOn w:val="8"/>
    <w:qFormat/>
    <w:uiPriority w:val="0"/>
    <w:rPr>
      <w:rFonts w:hint="default" w:ascii="方正黑体_GBK" w:hAnsi="方正黑体_GBK" w:eastAsia="方正黑体_GBK" w:cs="方正黑体_GBK"/>
      <w:color w:val="FF0000"/>
      <w:sz w:val="24"/>
      <w:szCs w:val="24"/>
    </w:rPr>
  </w:style>
  <w:style w:type="character" w:customStyle="1" w:styleId="16">
    <w:name w:val="18"/>
    <w:basedOn w:val="8"/>
    <w:qFormat/>
    <w:uiPriority w:val="0"/>
    <w:rPr>
      <w:rFonts w:hint="eastAsia" w:ascii="宋体" w:hAnsi="宋体" w:eastAsia="宋体" w:cs="宋体"/>
      <w:color w:val="0070C0"/>
      <w:sz w:val="22"/>
      <w:szCs w:val="22"/>
    </w:rPr>
  </w:style>
  <w:style w:type="character" w:customStyle="1" w:styleId="17">
    <w:name w:val="16"/>
    <w:basedOn w:val="8"/>
    <w:qFormat/>
    <w:uiPriority w:val="0"/>
    <w:rPr>
      <w:rFonts w:hint="default" w:ascii="Times New Roman" w:hAnsi="Times New Roman" w:cs="Times New Roman"/>
      <w:color w:val="800080"/>
      <w:u w:val="single"/>
    </w:rPr>
  </w:style>
  <w:style w:type="paragraph" w:customStyle="1" w:styleId="18">
    <w:name w:val="正文-公1"/>
    <w:basedOn w:val="1"/>
    <w:qFormat/>
    <w:uiPriority w:val="0"/>
    <w:pPr>
      <w:spacing w:line="360" w:lineRule="auto"/>
      <w:ind w:firstLine="200" w:firstLineChars="200"/>
    </w:pPr>
    <w:rPr>
      <w:rFonts w:ascii="仿宋" w:hAnsi="Calibri" w:eastAsia="仿宋" w:cs="Times New Roman"/>
      <w:sz w:val="32"/>
      <w:szCs w:val="32"/>
    </w:rPr>
  </w:style>
  <w:style w:type="paragraph" w:customStyle="1" w:styleId="19">
    <w:name w:val="指南标题1"/>
    <w:qFormat/>
    <w:uiPriority w:val="0"/>
    <w:pPr>
      <w:keepNext/>
      <w:keepLines/>
      <w:widowControl w:val="0"/>
      <w:spacing w:after="120" w:line="360" w:lineRule="auto"/>
      <w:jc w:val="center"/>
      <w:outlineLvl w:val="0"/>
    </w:pPr>
    <w:rPr>
      <w:rFonts w:ascii="方正小标宋简体" w:hAnsi="Microsoft YaHei UI" w:eastAsia="方正小标宋简体" w:cs="Times New Roman"/>
      <w:b/>
      <w:color w:val="000000"/>
      <w:kern w:val="44"/>
      <w:sz w:val="36"/>
      <w:szCs w:val="36"/>
      <w:lang w:val="en-US" w:eastAsia="zh-CN" w:bidi="ar-SA"/>
    </w:rPr>
  </w:style>
  <w:style w:type="paragraph" w:customStyle="1" w:styleId="20">
    <w:name w:val="指南标题"/>
    <w:basedOn w:val="1"/>
    <w:qFormat/>
    <w:uiPriority w:val="0"/>
    <w:pPr>
      <w:spacing w:line="360" w:lineRule="auto"/>
      <w:ind w:left="1433" w:hanging="1433" w:hangingChars="398"/>
      <w:jc w:val="center"/>
    </w:pPr>
    <w:rPr>
      <w:rFonts w:ascii="方正小标宋简体" w:hAnsi="微软雅黑" w:eastAsia="方正小标宋简体" w:cs="Times New Roman"/>
      <w:sz w:val="36"/>
      <w:szCs w:val="36"/>
    </w:rPr>
  </w:style>
  <w:style w:type="table" w:customStyle="1" w:styleId="21">
    <w:name w:val="Table Normal1"/>
    <w:basedOn w:val="6"/>
    <w:qFormat/>
    <w:uiPriority w:val="0"/>
    <w:tblPr>
      <w:tblCellMar>
        <w:left w:w="0" w:type="dxa"/>
        <w:right w:w="0" w:type="dxa"/>
      </w:tblCellMar>
    </w:tblPr>
  </w:style>
  <w:style w:type="character" w:customStyle="1" w:styleId="22">
    <w:name w:val="font61"/>
    <w:basedOn w:val="8"/>
    <w:autoRedefine/>
    <w:qFormat/>
    <w:uiPriority w:val="0"/>
    <w:rPr>
      <w:rFonts w:hint="default" w:ascii="方正黑体_GBK" w:hAnsi="方正黑体_GBK" w:eastAsia="方正黑体_GBK" w:cs="方正黑体_GBK"/>
      <w:color w:val="FF0000"/>
      <w:sz w:val="24"/>
      <w:szCs w:val="24"/>
      <w:u w:val="none"/>
    </w:rPr>
  </w:style>
  <w:style w:type="character" w:customStyle="1" w:styleId="23">
    <w:name w:val="font31"/>
    <w:basedOn w:val="8"/>
    <w:autoRedefine/>
    <w:qFormat/>
    <w:uiPriority w:val="0"/>
    <w:rPr>
      <w:rFonts w:hint="eastAsia" w:ascii="宋体" w:hAnsi="宋体" w:eastAsia="宋体" w:cs="宋体"/>
      <w:color w:val="0070C0"/>
      <w:sz w:val="22"/>
      <w:szCs w:val="22"/>
      <w:u w:val="none"/>
    </w:rPr>
  </w:style>
  <w:style w:type="paragraph" w:customStyle="1" w:styleId="24">
    <w:name w:val="Revision"/>
    <w:hidden/>
    <w:unhideWhenUsed/>
    <w:qFormat/>
    <w:uiPriority w:val="99"/>
    <w:rPr>
      <w:rFonts w:asciiTheme="minorHAnsi" w:hAnsiTheme="minorHAnsi" w:eastAsiaTheme="minorEastAsia" w:cstheme="minorBidi"/>
      <w:kern w:val="2"/>
      <w:sz w:val="21"/>
      <w:szCs w:val="24"/>
      <w:lang w:val="en-US" w:eastAsia="zh-CN" w:bidi="ar-SA"/>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customXml" Target="../customXml/item1.xml"/><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Pages>
  <Words>942</Words>
  <Characters>997</Characters>
  <Lines>11</Lines>
  <Paragraphs>3</Paragraphs>
  <TotalTime>0</TotalTime>
  <ScaleCrop>false</ScaleCrop>
  <LinksUpToDate>false</LinksUpToDate>
  <CharactersWithSpaces>1441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2025-06-04T12:42:00Z</dcterms:created>
  <dc:creator/>
  <cp:lastModifiedBy/>
  <dcterms:modified xsi:type="dcterms:W3CDTF">2026-06-26T10:42:36Z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eyJoZGlkIjoiMjBmMzg2ZmFkMDc5YmExYmZmYjEyYjAyOWU2M2ViOWYiLCJ1c2VySWQiOiIxNDc1MjUxMTM2In0=</vt:lpwstr>
  </property>
  <property fmtid="{D5CDD505-2E9C-101B-9397-08002B2CF9AE}" pid="4" name="ICV">
    <vt:lpwstr>C02EA66F6F0A4479B5F2E58D00BF7643_13</vt:lpwstr>
  </property>
</Properties>
</file>