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50CB2E">
      <w:pPr>
        <w:spacing w:line="360" w:lineRule="auto"/>
        <w:ind w:left="1114" w:hanging="1114" w:hangingChars="398"/>
        <w:jc w:val="left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</w:rPr>
        <w:t>附件</w:t>
      </w:r>
      <w:r>
        <w:rPr>
          <w:rFonts w:ascii="Times New Roman" w:hAnsi="Times New Roman" w:eastAsia="仿宋" w:cs="Times New Roman"/>
          <w:sz w:val="28"/>
          <w:szCs w:val="28"/>
        </w:rPr>
        <w:t>1</w:t>
      </w:r>
      <w:r>
        <w:rPr>
          <w:rFonts w:hint="eastAsia" w:ascii="Times New Roman" w:hAnsi="Times New Roman" w:eastAsia="仿宋" w:cs="Times New Roman"/>
          <w:sz w:val="28"/>
          <w:szCs w:val="28"/>
        </w:rPr>
        <w:t>：</w:t>
      </w:r>
    </w:p>
    <w:p w14:paraId="4C609DEA">
      <w:pPr>
        <w:widowControl/>
        <w:spacing w:line="360" w:lineRule="auto"/>
        <w:jc w:val="center"/>
        <w:rPr>
          <w:rFonts w:ascii="方正小标宋简体" w:hAnsi="方正小标宋简体" w:eastAsia="方正小标宋简体" w:cs="方正小标宋简体"/>
          <w:sz w:val="36"/>
          <w:szCs w:val="36"/>
        </w:rPr>
      </w:pPr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第</w:t>
      </w:r>
      <w:r>
        <w:rPr>
          <w:rFonts w:hint="eastAsia" w:ascii="方正小标宋简体" w:hAnsi="方正小标宋简体" w:eastAsia="方正小标宋简体" w:cs="方正小标宋简体"/>
          <w:sz w:val="36"/>
          <w:szCs w:val="36"/>
          <w:lang w:eastAsia="zh-Hans"/>
        </w:rPr>
        <w:t>十</w:t>
      </w:r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二届中国研究生智慧城市技术与创意设计大赛</w:t>
      </w:r>
      <w:bookmarkStart w:id="0" w:name="_Toc479323112"/>
      <w:bookmarkStart w:id="1" w:name="_Toc479323333"/>
    </w:p>
    <w:p w14:paraId="23A7038F">
      <w:pPr>
        <w:spacing w:line="360" w:lineRule="auto"/>
        <w:ind w:left="210" w:leftChars="100" w:right="210" w:rightChars="100"/>
        <w:jc w:val="center"/>
        <w:rPr>
          <w:rFonts w:ascii="方正小标宋简体" w:hAnsi="方正小标宋简体" w:eastAsia="方正小标宋简体" w:cs="方正小标宋简体"/>
          <w:sz w:val="36"/>
          <w:szCs w:val="36"/>
        </w:rPr>
      </w:pPr>
      <w:bookmarkStart w:id="2" w:name="_Toc108088507"/>
      <w:bookmarkStart w:id="3" w:name="_Toc7210846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创意设计赛</w:t>
      </w:r>
      <w:bookmarkEnd w:id="0"/>
      <w:bookmarkEnd w:id="1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项目简表</w:t>
      </w:r>
      <w:bookmarkEnd w:id="2"/>
      <w:bookmarkEnd w:id="3"/>
    </w:p>
    <w:p w14:paraId="5CA8D785">
      <w:pPr>
        <w:widowControl/>
        <w:spacing w:line="360" w:lineRule="auto"/>
        <w:jc w:val="center"/>
        <w:rPr>
          <w:rFonts w:ascii="Times New Roman" w:hAnsi="Times New Roman" w:eastAsia="仿宋" w:cs="Times New Roman"/>
          <w:sz w:val="28"/>
          <w:szCs w:val="36"/>
        </w:rPr>
      </w:pPr>
      <w:r>
        <w:rPr>
          <w:rFonts w:hint="eastAsia" w:ascii="Times New Roman" w:hAnsi="Times New Roman" w:eastAsia="仿宋" w:cs="Times New Roman"/>
          <w:sz w:val="28"/>
          <w:szCs w:val="36"/>
          <w:color w:val="000000"/>
        </w:rPr>
        <w:t xml:space="preserve">（申报正文草案）</w:t>
      </w:r>
    </w:p>
    <w:tbl>
      <w:tblPr>
        <w:tblStyle w:val="7"/>
        <w:tblW w:w="1049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42" w:type="dxa"/>
          <w:left w:w="108" w:type="dxa"/>
          <w:bottom w:w="142" w:type="dxa"/>
          <w:right w:w="108" w:type="dxa"/>
        </w:tblCellMar>
      </w:tblPr>
      <w:tblGrid>
        <w:gridCol w:w="1792"/>
        <w:gridCol w:w="1464"/>
        <w:gridCol w:w="1570"/>
        <w:gridCol w:w="1842"/>
        <w:gridCol w:w="3822"/>
      </w:tblGrid>
      <w:tr w14:paraId="7B788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7CAF9BDA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作品名称</w:t>
            </w: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color w:val="000000"/>
              </w:rPr>
              <w:t xml:space="preserve">乡艺有据——可信非遗体验编排智能体</w:t>
            </w:r>
          </w:p>
        </w:tc>
      </w:tr>
      <w:tr w14:paraId="67477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605C8C88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团队名称</w:t>
            </w: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color w:val="000000"/>
              </w:rPr>
              <w:t xml:space="preserve">待补（匿名团队名称）</w:t>
            </w:r>
          </w:p>
        </w:tc>
      </w:tr>
      <w:tr w14:paraId="2DE26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5A5714F5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参赛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  <w:lang w:eastAsia="zh-Hans"/>
              </w:rPr>
              <w:t>赛道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/</w:t>
            </w:r>
          </w:p>
          <w:p w14:paraId="781AD66F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赛题</w:t>
            </w:r>
          </w:p>
        </w:tc>
        <w:tc>
          <w:tcPr>
            <w:tcW w:w="8698" w:type="dxa"/>
            <w:gridSpan w:val="4"/>
            <w:vAlign w:val="center"/>
          </w:tcPr>
          <w:p w14:paraId="4FAF87E1">
            <w:pPr>
              <w:widowControl/>
              <w:jc w:val="distribute"/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1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.定向赛道-低空经济与空天科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□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2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.定向赛道-智慧交通与数字孪生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kern w:val="0"/>
                <w:sz w:val="24"/>
                <w:lang w:val="en-US" w:eastAsia="zh-CN"/>
              </w:rPr>
              <w:t xml:space="preserve">   </w:t>
            </w:r>
            <w:r>
              <w:rPr>
                <w:rFonts w:ascii="Times New Roman" w:hAnsi="Times New Roman" w:eastAsia="仿宋" w:cs="Times New Roman"/>
                <w:kern w:val="0"/>
                <w:sz w:val="24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 </w:t>
            </w:r>
          </w:p>
          <w:p w14:paraId="66DE1D95">
            <w:pPr>
              <w:widowControl/>
              <w:jc w:val="distribute"/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3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.定向赛道-智能建造与城市更新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4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.定向赛道-未来城市与太空人居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 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</w:t>
            </w:r>
          </w:p>
          <w:p w14:paraId="605D67D5">
            <w:pPr>
              <w:widowControl/>
              <w:jc w:val="distribute"/>
              <w:rPr>
                <w:rFonts w:ascii="Times New Roman" w:hAnsi="Times New Roman" w:eastAsia="仿宋" w:cs="Times New Roman"/>
                <w:color w:val="000000"/>
                <w:kern w:val="0"/>
                <w:sz w:val="32"/>
                <w:szCs w:val="21"/>
              </w:rPr>
            </w:pPr>
            <w:bookmarkStart w:id="4" w:name="OLE_LINK1"/>
            <w:bookmarkEnd w:id="4"/>
            <w:r>
              <w:rPr>
                <w:rFonts w:ascii="Times New Roman" w:hAnsi="Times New Roman" w:eastAsia="仿宋" w:cs="Times New Roman"/>
                <w:kern w:val="0"/>
                <w:sz w:val="24"/>
                <w:szCs w:val="18"/>
                <w:color w:val="000000"/>
              </w:rPr>
              <w:t xml:space="preserve">5.定向赛道-智慧文旅与乡村振兴 ☑    6.定向赛道-智慧能源与环境         □  </w:t>
            </w:r>
          </w:p>
          <w:p w14:paraId="054581E6">
            <w:pPr>
              <w:widowControl/>
              <w:jc w:val="distribute"/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7.</w:t>
            </w:r>
            <w:bookmarkStart w:id="5" w:name="OLE_LINK2"/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定向赛道-</w:t>
            </w:r>
            <w:bookmarkEnd w:id="5"/>
            <w:r>
              <w:rPr>
                <w:rFonts w:hint="eastAsia" w:ascii="Times New Roman" w:hAnsi="Times New Roman" w:eastAsia="仿宋" w:cs="仿宋"/>
                <w:kern w:val="0"/>
                <w:sz w:val="24"/>
              </w:rPr>
              <w:t xml:space="preserve">韧性城市与智慧应急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8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.定向赛道-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AI与具身智能</w:t>
            </w:r>
            <w:r>
              <w:rPr>
                <w:rFonts w:hint="eastAsia" w:ascii="Times New Roman" w:hAnsi="Times New Roman" w:eastAsia="仿宋" w:cs="仿宋"/>
                <w:kern w:val="0"/>
                <w:sz w:val="24"/>
              </w:rPr>
              <w:t xml:space="preserve">  </w:t>
            </w:r>
            <w:r>
              <w:rPr>
                <w:rFonts w:hint="eastAsia" w:ascii="Times New Roman" w:hAnsi="Times New Roman" w:eastAsia="仿宋" w:cs="仿宋"/>
                <w:kern w:val="0"/>
                <w:sz w:val="24"/>
                <w:lang w:val="en-US" w:eastAsia="zh-CN"/>
              </w:rPr>
              <w:t xml:space="preserve">    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  <w:p w14:paraId="3690E679">
            <w:pPr>
              <w:widowControl/>
              <w:jc w:val="distribute"/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9.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定向赛道-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智慧生活与大健康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</w:t>
            </w:r>
            <w:bookmarkStart w:id="6" w:name="OLE_LINK7"/>
            <w:bookmarkStart w:id="7" w:name="OLE_LINK6"/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□ </w:t>
            </w:r>
            <w:bookmarkEnd w:id="6"/>
            <w:bookmarkEnd w:id="7"/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10.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定向赛道-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城市运维与安全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  <w:p w14:paraId="7CECD00F">
            <w:pPr>
              <w:widowControl/>
              <w:rPr>
                <w:rFonts w:hint="default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11.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定向赛道-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智能材料与绿色建造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□ </w:t>
            </w:r>
          </w:p>
          <w:p w14:paraId="15C10EC3">
            <w:pPr>
              <w:widowControl/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1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2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.自由赛道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         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  <w:p w14:paraId="62D0BAA6">
            <w:pPr>
              <w:widowControl/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1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>3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.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企业揭榜赛道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 </w:t>
            </w:r>
            <w:r>
              <w:rPr>
                <w:rFonts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 xml:space="preserve">         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  <w:p w14:paraId="784F9023">
            <w:pPr>
              <w:widowControl/>
              <w:rPr>
                <w:rFonts w:hint="default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  <w:lang w:val="en-US" w:eastAsia="zh-CN"/>
              </w:rPr>
              <w:t xml:space="preserve">14.地方特色赛道               </w:t>
            </w:r>
            <w:r>
              <w:rPr>
                <w:rFonts w:hint="eastAsia" w:ascii="Times New Roman" w:hAnsi="Times New Roman" w:eastAsia="仿宋" w:cs="Times New Roman"/>
                <w:color w:val="000000"/>
                <w:kern w:val="0"/>
                <w:sz w:val="24"/>
                <w:szCs w:val="18"/>
              </w:rPr>
              <w:t>□</w:t>
            </w:r>
          </w:p>
        </w:tc>
      </w:tr>
      <w:tr w14:paraId="29D2A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1D0A8338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队长姓名</w:t>
            </w:r>
          </w:p>
        </w:tc>
        <w:tc>
          <w:tcPr>
            <w:tcW w:w="3034" w:type="dxa"/>
            <w:gridSpan w:val="2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color w:val="000000"/>
              </w:rPr>
              <w:t xml:space="preserve">待按平台口径填写</w:t>
            </w:r>
          </w:p>
        </w:tc>
        <w:tc>
          <w:tcPr>
            <w:tcW w:w="1842" w:type="dxa"/>
            <w:shd w:val="clear" w:color="auto" w:fill="E7E6E6"/>
          </w:tcPr>
          <w:p w14:paraId="4622BAB2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队长联系电话</w:t>
            </w:r>
          </w:p>
        </w:tc>
        <w:tc>
          <w:tcPr>
            <w:tcW w:w="3822" w:type="dxa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color w:val="000000"/>
              </w:rPr>
              <w:t xml:space="preserve">待补</w:t>
            </w:r>
          </w:p>
        </w:tc>
      </w:tr>
      <w:tr w14:paraId="7741A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shd w:val="clear" w:color="auto" w:fill="E7E6E6"/>
            <w:vAlign w:val="center"/>
          </w:tcPr>
          <w:p w14:paraId="7DA46AC5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团队成员</w:t>
            </w: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color w:val="000000"/>
              </w:rPr>
              <w:t xml:space="preserve">待按平台口径填写</w:t>
            </w:r>
          </w:p>
        </w:tc>
      </w:tr>
      <w:tr w14:paraId="372E1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restart"/>
            <w:shd w:val="clear" w:color="auto" w:fill="E7E6E6"/>
            <w:vAlign w:val="center"/>
          </w:tcPr>
          <w:p w14:paraId="2838540A">
            <w:pPr>
              <w:widowControl/>
              <w:autoSpaceDN w:val="0"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报告内容</w:t>
            </w:r>
          </w:p>
          <w:p w14:paraId="252E61EB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摘要</w:t>
            </w:r>
          </w:p>
        </w:tc>
        <w:tc>
          <w:tcPr>
            <w:tcW w:w="8698" w:type="dxa"/>
            <w:gridSpan w:val="4"/>
            <w:shd w:val="clear" w:color="auto" w:fill="E7E6E6"/>
            <w:vAlign w:val="center"/>
          </w:tcPr>
          <w:p w14:paraId="4BF3C018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  <w:keepNext/>
            </w:pP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（</w:t>
            </w:r>
            <w:r>
              <w:rPr>
                <w:rFonts w:ascii="Times New Roman" w:hAnsi="Times New Roman" w:eastAsia="仿宋" w:cs="Times New Roman"/>
                <w:b/>
                <w:kern w:val="0"/>
                <w:sz w:val="24"/>
              </w:rPr>
              <w:t>1</w:t>
            </w: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）项目背景</w:t>
            </w:r>
          </w:p>
        </w:tc>
      </w:tr>
      <w:tr w14:paraId="3639B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1DDCBF85">
            <w:pPr>
              <w:widowControl/>
              <w:autoSpaceDN w:val="0"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ascii="Times New Roman" w:hAnsi="Times New Roman" w:eastAsia="仿宋" w:cs="Times New Roman"/>
                <w:kern w:val="0"/>
                <w:sz w:val="24"/>
                <w:color w:val="000000"/>
              </w:rPr>
              <w:t xml:space="preserve">乡村非遗体验组织者需要同时回答：讲解是否有出处，地方工艺是否讲错，预算与接待资源能否兑现。金山区政府公开剪纸小夜灯公告给出时段、地点、对象与名额，却不能证明当前可预约、教师、容量或成本。本项目把公开资料与演示接待条件分开，让非遗不止被看见，更能被体验。真实需求强度和付费意愿仍待访谈验证。</w:t>
            </w:r>
          </w:p>
        </w:tc>
      </w:tr>
      <w:tr w14:paraId="5049E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71878284">
            <w:pPr>
              <w:widowControl/>
              <w:autoSpaceDN w:val="0"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</w:p>
        </w:tc>
        <w:tc>
          <w:tcPr>
            <w:tcW w:w="8698" w:type="dxa"/>
            <w:gridSpan w:val="4"/>
            <w:shd w:val="clear" w:color="auto" w:fill="E7E6E6"/>
            <w:vAlign w:val="center"/>
          </w:tcPr>
          <w:p w14:paraId="2A572004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  <w:keepNext/>
            </w:pP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（</w:t>
            </w:r>
            <w:r>
              <w:rPr>
                <w:rFonts w:ascii="Times New Roman" w:hAnsi="Times New Roman" w:eastAsia="仿宋" w:cs="Times New Roman"/>
                <w:b/>
                <w:kern w:val="0"/>
                <w:sz w:val="24"/>
              </w:rPr>
              <w:t>2</w:t>
            </w: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）立项思路</w:t>
            </w:r>
          </w:p>
        </w:tc>
      </w:tr>
      <w:tr w14:paraId="70FF8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6C61D152">
            <w:pPr>
              <w:widowControl/>
              <w:autoSpaceDN w:val="0"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ascii="Times New Roman" w:hAnsi="Times New Roman" w:eastAsia="仿宋" w:cs="Times New Roman"/>
                <w:kern w:val="0"/>
                <w:sz w:val="24"/>
                <w:color w:val="000000"/>
              </w:rPr>
              <w:t xml:space="preserve">把公开文化资料、经营配置和游客需求放入同一条可追踪链路：来源支撑讲解，公告条件进入历史案例，讲解进入活动，素材变化定位并更新体验包。大语言模型负责理解、核验表达和反馈修订，程序负责金额、时长、容量与资源求解，人负责文化判断、授权和最终确认。金山案例把现场教学30分钟与手作90分钟排成120分钟；人数变化会真实改账目。</w:t>
            </w:r>
          </w:p>
        </w:tc>
      </w:tr>
      <w:tr w14:paraId="2391A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6E2ED5F1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8698" w:type="dxa"/>
            <w:gridSpan w:val="4"/>
            <w:shd w:val="clear" w:color="auto" w:fill="E7E6E6"/>
            <w:vAlign w:val="center"/>
          </w:tcPr>
          <w:p w14:paraId="75BBE221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  <w:keepNext/>
            </w:pP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（</w:t>
            </w:r>
            <w:r>
              <w:rPr>
                <w:rFonts w:ascii="Times New Roman" w:hAnsi="Times New Roman" w:eastAsia="仿宋" w:cs="Times New Roman"/>
                <w:b/>
                <w:kern w:val="0"/>
                <w:sz w:val="24"/>
              </w:rPr>
              <w:t>3</w:t>
            </w: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）解决方案</w:t>
            </w:r>
          </w:p>
        </w:tc>
      </w:tr>
      <w:tr w14:paraId="2EAFA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04440148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sz w:val="24"/>
              </w:rPr>
            </w:pPr>
            <w:r>
              <w:rPr>
                <w:rFonts w:ascii="Times New Roman" w:hAnsi="Times New Roman" w:eastAsia="仿宋" w:cs="Times New Roman"/>
                <w:sz w:val="24"/>
                <w:color w:val="000000"/>
              </w:rPr>
              <w:t xml:space="preserve">前端保留纸白、墨绿、朱红的三页结构，以原文与修订对照、证据原文位置、方案前后差异和体验包预览呈现结果。后台采用Qwen3-14B Q4_K_M、Ollama、LangGraph OSS、FastAPI与SQLite，不微调、不接付费模型API。输入经拆解后，文化陈述按地域及项目检索，分别标记来源支持、矛盾、资料分歧和信息不足；没有检索到不直接判错。经营承诺须由接待方确认，不能从文化来源推导。程序在当前案例的三个同场地活动模块中枚举可行组合，使用整数分核算费用，检查必要时长、人数、教师与场地，保留原轻、深套餐作为回归。已核验事实转为一般游客或亲子客群的短讲解、观察任务与互动提问，教学创意明确标注，生成后再查文化断言。对外使用需人工确认；资料或素材状态改变即使旧确认失效，再生成游客版和含账本、日程、资源及引用的组织者版。当前案例的教师、安全容量、报价、服务报酬和材料数量均为单独标记的演示测算，历史公告不可据此预约。</w:t>
            </w:r>
          </w:p>
        </w:tc>
      </w:tr>
      <w:tr w14:paraId="5C229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0E7A6082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8698" w:type="dxa"/>
            <w:gridSpan w:val="4"/>
            <w:shd w:val="clear" w:color="auto" w:fill="E7E6E6"/>
            <w:vAlign w:val="center"/>
          </w:tcPr>
          <w:p w14:paraId="7F1FAEF0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  <w:keepNext/>
            </w:pP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（</w:t>
            </w:r>
            <w:r>
              <w:rPr>
                <w:rFonts w:ascii="Times New Roman" w:hAnsi="Times New Roman" w:eastAsia="仿宋" w:cs="Times New Roman"/>
                <w:b/>
                <w:kern w:val="0"/>
                <w:sz w:val="24"/>
              </w:rPr>
              <w:t>4</w:t>
            </w:r>
            <w:r>
              <w:rPr>
                <w:rFonts w:hint="eastAsia" w:ascii="Times New Roman" w:hAnsi="Times New Roman" w:eastAsia="仿宋" w:cs="Times New Roman"/>
                <w:b/>
                <w:kern w:val="0"/>
                <w:sz w:val="24"/>
              </w:rPr>
              <w:t>）</w:t>
            </w:r>
            <w:r>
              <w:rPr>
                <w:rFonts w:hint="eastAsia" w:ascii="Times New Roman" w:hAnsi="Times New Roman" w:eastAsia="仿宋" w:cs="Times New Roman"/>
                <w:b/>
                <w:sz w:val="24"/>
              </w:rPr>
              <w:t>商业模式和预期效益</w:t>
            </w:r>
          </w:p>
        </w:tc>
      </w:tr>
      <w:tr w14:paraId="7855E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05E5D622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8698" w:type="dxa"/>
            <w:gridSpan w:val="4"/>
          </w:tcPr>
          <w:p>
            <w:pPr>
              <w:widowControl/>
              <w:rPr>
                <w:rFonts w:ascii="Times New Roman" w:hAnsi="Times New Roman" w:eastAsia="仿宋" w:cs="Times New Roman"/>
                <w:color w:val="595959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sz w:val="24"/>
                <w:color w:val="000000"/>
              </w:rPr>
              <w:t xml:space="preserve">首批用户拟为有固定场地的小型乡村工坊、研学组织者和文旅服务机构。拟提供本地部署、资料整理、模块配置和维护服务，收费逻辑采用一次性配置费加按期维护费，具体价格待访谈验证。金山区公开活动案例仅用于资料重建与系统验证；当前仅有演示测算，没有合作订单、收入增长、净利润或减排成效证据。</w:t>
            </w:r>
          </w:p>
        </w:tc>
      </w:tr>
      <w:tr w14:paraId="50244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restart"/>
            <w:shd w:val="clear" w:color="auto" w:fill="E7E6E6"/>
            <w:vAlign w:val="center"/>
          </w:tcPr>
          <w:p w14:paraId="208F3AE5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作品技术</w:t>
            </w:r>
          </w:p>
          <w:p w14:paraId="5E9AB716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</w:rPr>
              <w:t>自评价</w:t>
            </w:r>
          </w:p>
        </w:tc>
        <w:tc>
          <w:tcPr>
            <w:tcW w:w="1464" w:type="dxa"/>
            <w:vAlign w:val="center"/>
          </w:tcPr>
          <w:p w14:paraId="2B6B5B04">
            <w:pPr>
              <w:widowControl/>
              <w:rPr>
                <w:rFonts w:ascii="Times New Roman" w:hAnsi="Times New Roman" w:eastAsia="仿宋" w:cs="Times New Roman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18"/>
              </w:rPr>
              <w:t>作品所处</w:t>
            </w:r>
          </w:p>
          <w:p w14:paraId="091CD7F2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18"/>
              </w:rPr>
              <w:t>研发阶段：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spacing w:before="81" w:after="81"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18"/>
                <w:color w:val="000000"/>
              </w:rPr>
              <w:t xml:space="preserve">创意设计类；基础研究类；</w:t>
            </w:r>
          </w:p>
          <w:p>
            <w:pPr>
              <w:widowControl/>
              <w:spacing w:before="81" w:after="81"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4"/>
                <w:szCs w:val="18"/>
                <w:color w:val="000000"/>
              </w:rPr>
              <w:t xml:space="preserve">软硬件开发类（选择）；工程实施类</w:t>
            </w:r>
          </w:p>
        </w:tc>
      </w:tr>
      <w:tr w14:paraId="23A8F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0D480484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75620A7F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先进性：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spacing w:before="81" w:after="81"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国际领先；国际先进；国内领先；国内先进；国内一般；无法判断（选择，尚无充分对标证据）</w:t>
            </w:r>
          </w:p>
        </w:tc>
      </w:tr>
      <w:tr w14:paraId="771EF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4BB40A0B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4DA94D54"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成果交付物类型（可多选）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□硬件 ☑软件 □工艺 ☑方法 □服务 □商业模式</w:t>
            </w:r>
          </w:p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□其他</w:t>
            </w:r>
          </w:p>
        </w:tc>
      </w:tr>
      <w:tr w14:paraId="3BCCB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5215EE54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559DBAC9"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技术成熟度（单选）：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□第1级 □第2级 □第3级 □第4级</w:t>
            </w:r>
          </w:p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□第5级 □第6级 □第7级 □第8级 □第9级</w:t>
            </w:r>
          </w:p>
          <w:p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待依据成熟度定义与实施证据核定，暂不选择。</w:t>
            </w:r>
          </w:p>
        </w:tc>
      </w:tr>
      <w:tr w14:paraId="75AE4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69E81CC6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1651D406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国内外对比参照物（可多个参照物）：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spacing w:before="81" w:after="81"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同模型、同资料、同工具的固定流程（内部对照，非第三方产品）；结果见2026年10月3日小规模内部验收。其他国内外产品或技术的规范比较待补。</w:t>
            </w:r>
          </w:p>
        </w:tc>
      </w:tr>
      <w:tr w14:paraId="4DA05C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2854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52D3CA02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074E71CC">
            <w:pPr>
              <w:widowControl/>
              <w:rPr>
                <w:rFonts w:ascii="Times New Roman" w:hAnsi="Times New Roman" w:eastAsia="仿宋" w:cs="仿宋"/>
                <w:kern w:val="0"/>
                <w:sz w:val="24"/>
                <w:szCs w:val="18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关键指标</w:t>
            </w:r>
          </w:p>
          <w:p w14:paraId="22BB7561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提升情况：（</w:t>
            </w:r>
            <w:r>
              <w:rPr>
                <w:rFonts w:hint="eastAsia" w:ascii="Times New Roman" w:hAnsi="Times New Roman" w:eastAsia="仿宋" w:cs="仿宋"/>
                <w:b/>
                <w:bCs/>
                <w:kern w:val="0"/>
                <w:sz w:val="24"/>
                <w:szCs w:val="18"/>
              </w:rPr>
              <w:t>关键指标一般3-5项，具体数值需有相关试验报告、第三方检测报告等佐证材料支撑</w:t>
            </w: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）</w:t>
            </w:r>
          </w:p>
        </w:tc>
        <w:tc>
          <w:tcPr>
            <w:tcW w:w="7234" w:type="dxa"/>
            <w:gridSpan w:val="3"/>
            <w:vAlign w:val="center"/>
          </w:tcPr>
          <w:tbl>
            <w:tblPr>
              <w:tblStyle w:val="6"/>
              <w:tblpPr w:leftFromText="180" w:rightFromText="180" w:vertAnchor="text" w:horzAnchor="page" w:tblpXSpec="center" w:tblpY="396"/>
              <w:tblOverlap w:val="never"/>
              <w:tblW w:w="7018" w:type="dxa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511"/>
              <w:gridCol w:w="1170"/>
              <w:gridCol w:w="1124"/>
              <w:gridCol w:w="1095"/>
              <w:gridCol w:w="2118"/>
            </w:tblGrid>
            <w:tr w14:paraId="517BB7AC">
              <w:trPr>
                <w:trHeight w:val="418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 w14:paraId="1E68AE64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hint="eastAsia" w:ascii="Times New Roman" w:hAnsi="Times New Roman" w:eastAsia="仿宋" w:cs="仿宋"/>
                      <w:color w:val="000000"/>
                      <w:lang w:bidi="ar"/>
                      <w14:ligatures w14:val="standardContextual"/>
                    </w:rPr>
                    <w:t xml:space="preserve"> </w:t>
                  </w: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指标名称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 w14:paraId="7E459E57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hint="eastAsia" w:ascii="Times New Roman" w:hAnsi="Times New Roman" w:eastAsia="仿宋" w:cs="仿宋"/>
                      <w:color w:val="000000"/>
                      <w:lang w:bidi="ar"/>
                      <w14:ligatures w14:val="standardContextual"/>
                    </w:rPr>
                    <w:t xml:space="preserve"> </w:t>
                  </w: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指标值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 w14:paraId="675C0D12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参照值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 w14:paraId="7784E9BE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提升度%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 w14:paraId="3A37FC8E">
                  <w:pPr>
                    <w:widowControl/>
                    <w:spacing w:line="360" w:lineRule="auto"/>
                    <w:jc w:val="center"/>
                    <w:textAlignment w:val="center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rFonts w:ascii="Times New Roman" w:hAnsi="Times New Roman" w:eastAsia="仿宋" w:cs="仿宋"/>
                      <w:color w:val="000000"/>
                      <w:szCs w:val="21"/>
                      <w:lang w:bidi="ar"/>
                      <w14:ligatures w14:val="standardContextual"/>
                    </w:rPr>
                    <w:t>参照对象</w:t>
                  </w:r>
                </w:p>
              </w:tc>
            </w:tr>
            <w:tr w14:paraId="19C34688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完整交付题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12/12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10/12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未计算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同条件固定流程</w:t>
                  </w:r>
                </w:p>
              </w:tc>
            </w:tr>
            <w:tr w14:paraId="51B52BA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必要确认题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6/6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5/6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未计算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同条件固定流程</w:t>
                  </w:r>
                </w:p>
              </w:tc>
            </w:tr>
            <w:tr w14:paraId="6CA6FAAB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具体正确拒绝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5/6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3/6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未计算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同条件固定流程</w:t>
                  </w:r>
                </w:p>
              </w:tc>
            </w:tr>
            <w:tr w14:paraId="5EA4C8E1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任务中位耗时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4.523秒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2.209秒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未降低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同机各24任务</w:t>
                  </w:r>
                </w:p>
              </w:tc>
            </w:tr>
            <w:tr w14:paraId="67A735D7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5" w:hRule="atLeast"/>
              </w:trPr>
              <w:tc>
                <w:tcPr>
                  <w:tcW w:w="1076" w:type="pct"/>
                  <w:tcBorders>
                    <w:top w:val="single" w:color="000000" w:sz="4" w:space="0"/>
                    <w:left w:val="single" w:color="000000" w:sz="8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模型调用总数</w:t>
                  </w:r>
                </w:p>
              </w:tc>
              <w:tc>
                <w:tcPr>
                  <w:tcW w:w="833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98次</w:t>
                  </w:r>
                </w:p>
              </w:tc>
              <w:tc>
                <w:tcPr>
                  <w:tcW w:w="801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78次</w:t>
                  </w:r>
                </w:p>
              </w:tc>
              <w:tc>
                <w:tcPr>
                  <w:tcW w:w="780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jc w:val="left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未降低</w:t>
                  </w:r>
                </w:p>
              </w:tc>
              <w:tc>
                <w:tcPr>
                  <w:tcW w:w="1508" w:type="pct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8" w:space="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spacing w:line="360" w:lineRule="auto"/>
                    <w:rPr>
                      <w:rFonts w:ascii="Times New Roman" w:hAnsi="Times New Roman" w:eastAsia="仿宋" w:cs="仿宋"/>
                      <w:color w:val="000000"/>
                      <w:szCs w:val="21"/>
                    </w:rPr>
                  </w:pPr>
                  <w:r>
                    <w:rPr>
                      <w:color w:val="000000"/>
                    </w:rPr>
                    <w:t xml:space="preserve">各24任务总计</w:t>
                  </w:r>
                </w:p>
              </w:tc>
            </w:tr>
          </w:tbl>
          <w:p w14:paraId="290D2574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</w:p>
        </w:tc>
      </w:tr>
      <w:tr w14:paraId="1BCD2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42" w:type="dxa"/>
            <w:left w:w="108" w:type="dxa"/>
            <w:bottom w:w="142" w:type="dxa"/>
            <w:right w:w="108" w:type="dxa"/>
          </w:tblCellMar>
        </w:tblPrEx>
        <w:trPr>
          <w:trHeight w:val="1140" w:hRule="atLeast"/>
          <w:jc w:val="center"/>
        </w:trPr>
        <w:tc>
          <w:tcPr>
            <w:tcW w:w="1792" w:type="dxa"/>
            <w:vMerge w:val="continue"/>
            <w:shd w:val="clear" w:color="auto" w:fill="E7E6E6"/>
            <w:vAlign w:val="center"/>
          </w:tcPr>
          <w:p w14:paraId="71A2BBC4">
            <w:pPr>
              <w:widowControl/>
              <w:jc w:val="center"/>
              <w:rPr>
                <w:rFonts w:ascii="Times New Roman" w:hAnsi="Times New Roman" w:eastAsia="仿宋" w:cs="Times New Roman"/>
                <w:kern w:val="0"/>
                <w:sz w:val="24"/>
                <w:szCs w:val="21"/>
              </w:rPr>
            </w:pPr>
          </w:p>
        </w:tc>
        <w:tc>
          <w:tcPr>
            <w:tcW w:w="1464" w:type="dxa"/>
            <w:vAlign w:val="center"/>
          </w:tcPr>
          <w:p w14:paraId="66A02A37">
            <w:pPr>
              <w:widowControl/>
              <w:rPr>
                <w:rFonts w:ascii="Times New Roman" w:hAnsi="Times New Roman" w:eastAsia="仿宋" w:cs="Times New Roman"/>
                <w:color w:val="595959"/>
                <w:kern w:val="0"/>
                <w:sz w:val="24"/>
              </w:rPr>
            </w:pPr>
            <w:r>
              <w:rPr>
                <w:rFonts w:hint="eastAsia" w:ascii="Times New Roman" w:hAnsi="Times New Roman" w:eastAsia="仿宋" w:cs="仿宋"/>
                <w:kern w:val="0"/>
                <w:sz w:val="24"/>
                <w:szCs w:val="18"/>
              </w:rPr>
              <w:t>提升维度（可多选）：</w:t>
            </w:r>
          </w:p>
        </w:tc>
        <w:tc>
          <w:tcPr>
            <w:tcW w:w="7234" w:type="dxa"/>
            <w:gridSpan w:val="3"/>
            <w:vAlign w:val="center"/>
          </w:tcPr>
          <w:p>
            <w:pPr>
              <w:widowControl/>
              <w:spacing w:line="360" w:lineRule="auto"/>
              <w:rPr>
                <w:rFonts w:ascii="Times New Roman" w:hAnsi="Times New Roman" w:eastAsia="仿宋" w:cs="仿宋"/>
                <w:kern w:val="0"/>
                <w:sz w:val="24"/>
                <w:szCs w:val="18"/>
                <w:u w:val="single"/>
              </w:rPr>
            </w:pPr>
            <w:r>
              <w:rPr>
                <w:rFonts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新功能实现：可追溯核验、活动组合与双版包更新。</w:t>
            </w:r>
          </w:p>
          <w:p>
            <w:pPr>
              <w:widowControl/>
              <w:spacing w:line="360" w:lineRule="auto"/>
              <w:rPr>
                <w:rFonts w:ascii="Times New Roman" w:hAnsi="Times New Roman" w:eastAsia="仿宋" w:cs="仿宋"/>
                <w:kern w:val="0"/>
                <w:sz w:val="24"/>
                <w:szCs w:val="18"/>
                <w:u w:val="single"/>
              </w:rPr>
            </w:pPr>
            <w:r>
              <w:rPr>
                <w:rFonts w:ascii="Times New Roman" w:hAnsi="Times New Roman" w:eastAsia="仿宋" w:cs="仿宋"/>
                <w:kern w:val="0"/>
                <w:sz w:val="24"/>
                <w:szCs w:val="18"/>
                <w:color w:val="000000"/>
              </w:rPr>
              <w:t xml:space="preserve">质量、成本、效率及交付周期的提升值待实测，不填推断百分比。</w:t>
            </w:r>
          </w:p>
        </w:tc>
      </w:tr>
    </w:tbl>
    <w:p w14:paraId="44058CED">
      <w:bookmarkStart w:id="8" w:name="_GoBack"/>
      <w:bookmarkEnd w:id="8"/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  <w:embedRegular r:id="rId1" w:fontKey="{7AF563C4-34D6-4E03-89B5-3674323779EC}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黑体_GBK">
    <w:altName w:val="微软雅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小标宋简体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2" w:fontKey="{9AABD739-417C-4C4C-A62C-829D6C4A6EBA}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  <w:embedRegular r:id="rId3" w:fontKey="{C835C360-9FBA-457D-AB94-D833C240D37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288CFF">
    <w:pPr>
      <w:pStyle w:val="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8FF558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0O3bcsAgAAV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PQa5aFrd5ZHqGj&#10;eN6ujgECtrpGUToleq3QbW1l+smI7fznvo16+hssH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vQ7dt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8FF558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165"/>
    <w:rsid w:val="00031165"/>
    <w:rsid w:val="0037319A"/>
    <w:rsid w:val="005123E3"/>
    <w:rsid w:val="005D78D3"/>
    <w:rsid w:val="005F7FC1"/>
    <w:rsid w:val="006022A5"/>
    <w:rsid w:val="006B55D6"/>
    <w:rsid w:val="00727B81"/>
    <w:rsid w:val="007E416A"/>
    <w:rsid w:val="00971413"/>
    <w:rsid w:val="00B40E5B"/>
    <w:rsid w:val="00C23A47"/>
    <w:rsid w:val="00EF0A52"/>
    <w:rsid w:val="00FA1DE6"/>
    <w:rsid w:val="035E7A16"/>
    <w:rsid w:val="06941DC6"/>
    <w:rsid w:val="19F6DA34"/>
    <w:rsid w:val="1C2838BF"/>
    <w:rsid w:val="1D485456"/>
    <w:rsid w:val="1F6B6AC0"/>
    <w:rsid w:val="1FFFE5BD"/>
    <w:rsid w:val="28CA642A"/>
    <w:rsid w:val="2BDF9E85"/>
    <w:rsid w:val="333FDE2C"/>
    <w:rsid w:val="3F67793C"/>
    <w:rsid w:val="42B0500A"/>
    <w:rsid w:val="4E7E31A0"/>
    <w:rsid w:val="56FBDE94"/>
    <w:rsid w:val="57F3806F"/>
    <w:rsid w:val="5BCF7AD3"/>
    <w:rsid w:val="5D6737D9"/>
    <w:rsid w:val="5F7104CA"/>
    <w:rsid w:val="5FF7D9B7"/>
    <w:rsid w:val="61302E91"/>
    <w:rsid w:val="65E81C09"/>
    <w:rsid w:val="68FE2FAA"/>
    <w:rsid w:val="6AEFC613"/>
    <w:rsid w:val="6C0543DC"/>
    <w:rsid w:val="6D7B6243"/>
    <w:rsid w:val="729F83BF"/>
    <w:rsid w:val="73AFC5D2"/>
    <w:rsid w:val="74EE481B"/>
    <w:rsid w:val="7BE7BF6D"/>
    <w:rsid w:val="7DEB5D9B"/>
    <w:rsid w:val="7EBF4FF9"/>
    <w:rsid w:val="7EF214DF"/>
    <w:rsid w:val="7F3FB076"/>
    <w:rsid w:val="7FA3E9E9"/>
    <w:rsid w:val="7FFC1E6F"/>
    <w:rsid w:val="95F7AE71"/>
    <w:rsid w:val="AFAFA80C"/>
    <w:rsid w:val="BEDDDA19"/>
    <w:rsid w:val="CD9D93A6"/>
    <w:rsid w:val="D2DFB62A"/>
    <w:rsid w:val="D7F3D222"/>
    <w:rsid w:val="D7FF1812"/>
    <w:rsid w:val="DBDD2C26"/>
    <w:rsid w:val="DDC75C74"/>
    <w:rsid w:val="E7DF63B9"/>
    <w:rsid w:val="EFFFCDC6"/>
    <w:rsid w:val="EFFFCFFB"/>
    <w:rsid w:val="F4FFBB93"/>
    <w:rsid w:val="F57B7FA2"/>
    <w:rsid w:val="F9A4F9A6"/>
    <w:rsid w:val="FBA7009F"/>
    <w:rsid w:val="FBDF64D5"/>
    <w:rsid w:val="FBEF3ABD"/>
    <w:rsid w:val="FDEECDC1"/>
    <w:rsid w:val="FDF4B82A"/>
    <w:rsid w:val="FDF7CF12"/>
    <w:rsid w:val="FEFE7C39"/>
    <w:rsid w:val="FF5F2A4D"/>
    <w:rsid w:val="FFE73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spacing w:line="360" w:lineRule="auto"/>
      <w:ind w:firstLine="200" w:firstLineChars="200"/>
    </w:pPr>
    <w:rPr>
      <w:rFonts w:ascii="仿宋" w:hAnsi="Calibri" w:eastAsia="仿宋" w:cs="Times New Roman"/>
      <w:sz w:val="30"/>
      <w:szCs w:val="30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7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character" w:customStyle="1" w:styleId="10">
    <w:name w:val="10"/>
    <w:basedOn w:val="8"/>
    <w:qFormat/>
    <w:uiPriority w:val="0"/>
    <w:rPr>
      <w:rFonts w:hint="default" w:ascii="Times New Roman" w:hAnsi="Times New Roman" w:cs="Times New Roman"/>
    </w:rPr>
  </w:style>
  <w:style w:type="character" w:customStyle="1" w:styleId="11">
    <w:name w:val="15"/>
    <w:basedOn w:val="8"/>
    <w:qFormat/>
    <w:uiPriority w:val="0"/>
    <w:rPr>
      <w:rFonts w:hint="default" w:ascii="Times New Roman" w:hAnsi="Times New Roman" w:cs="Times New Roman"/>
      <w:b/>
    </w:rPr>
  </w:style>
  <w:style w:type="paragraph" w:customStyle="1" w:styleId="12">
    <w:name w:val="指南标题3"/>
    <w:qFormat/>
    <w:uiPriority w:val="0"/>
    <w:pPr>
      <w:keepNext/>
      <w:keepLines/>
      <w:widowControl w:val="0"/>
      <w:spacing w:line="360" w:lineRule="auto"/>
      <w:outlineLvl w:val="2"/>
    </w:pPr>
    <w:rPr>
      <w:rFonts w:ascii="仿宋" w:hAnsi="宋体" w:eastAsia="仿宋" w:cs="Times New Roman"/>
      <w:b/>
      <w:color w:val="000000"/>
      <w:kern w:val="2"/>
      <w:sz w:val="32"/>
      <w:szCs w:val="32"/>
      <w:lang w:val="en-US" w:eastAsia="zh-CN" w:bidi="ar-SA"/>
    </w:rPr>
  </w:style>
  <w:style w:type="paragraph" w:customStyle="1" w:styleId="13">
    <w:name w:val="Table Text"/>
    <w:basedOn w:val="1"/>
    <w:hidden/>
    <w:qFormat/>
    <w:uiPriority w:val="0"/>
    <w:pPr>
      <w:spacing w:before="127" w:line="360" w:lineRule="auto"/>
      <w:jc w:val="center"/>
    </w:pPr>
    <w:rPr>
      <w:rFonts w:ascii="仿宋" w:hAnsi="仿宋" w:eastAsia="仿宋" w:cs="Times New Roman"/>
      <w:sz w:val="28"/>
      <w:szCs w:val="28"/>
    </w:rPr>
  </w:style>
  <w:style w:type="paragraph" w:customStyle="1" w:styleId="14">
    <w:name w:val="指南标题2"/>
    <w:qFormat/>
    <w:uiPriority w:val="0"/>
    <w:pPr>
      <w:keepNext/>
      <w:keepLines/>
      <w:widowControl w:val="0"/>
      <w:spacing w:line="360" w:lineRule="auto"/>
      <w:outlineLvl w:val="1"/>
    </w:pPr>
    <w:rPr>
      <w:rFonts w:ascii="黑体" w:hAnsi="Microsoft YaHei UI" w:eastAsia="黑体" w:cs="Times New Roman"/>
      <w:b/>
      <w:color w:val="000000"/>
      <w:kern w:val="2"/>
      <w:sz w:val="32"/>
      <w:szCs w:val="32"/>
      <w:lang w:val="en-US" w:eastAsia="zh-CN" w:bidi="ar-SA"/>
    </w:rPr>
  </w:style>
  <w:style w:type="character" w:customStyle="1" w:styleId="15">
    <w:name w:val="17"/>
    <w:basedOn w:val="8"/>
    <w:qFormat/>
    <w:uiPriority w:val="0"/>
    <w:rPr>
      <w:rFonts w:hint="default" w:ascii="方正黑体_GBK" w:hAnsi="方正黑体_GBK" w:eastAsia="方正黑体_GBK" w:cs="方正黑体_GBK"/>
      <w:color w:val="FF0000"/>
      <w:sz w:val="24"/>
      <w:szCs w:val="24"/>
    </w:rPr>
  </w:style>
  <w:style w:type="character" w:customStyle="1" w:styleId="16">
    <w:name w:val="18"/>
    <w:basedOn w:val="8"/>
    <w:qFormat/>
    <w:uiPriority w:val="0"/>
    <w:rPr>
      <w:rFonts w:hint="eastAsia" w:ascii="宋体" w:hAnsi="宋体" w:eastAsia="宋体" w:cs="宋体"/>
      <w:color w:val="0070C0"/>
      <w:sz w:val="22"/>
      <w:szCs w:val="22"/>
    </w:rPr>
  </w:style>
  <w:style w:type="character" w:customStyle="1" w:styleId="17">
    <w:name w:val="16"/>
    <w:basedOn w:val="8"/>
    <w:qFormat/>
    <w:uiPriority w:val="0"/>
    <w:rPr>
      <w:rFonts w:hint="default" w:ascii="Times New Roman" w:hAnsi="Times New Roman" w:cs="Times New Roman"/>
      <w:color w:val="800080"/>
      <w:u w:val="single"/>
    </w:rPr>
  </w:style>
  <w:style w:type="paragraph" w:customStyle="1" w:styleId="18">
    <w:name w:val="正文-公1"/>
    <w:basedOn w:val="1"/>
    <w:qFormat/>
    <w:uiPriority w:val="0"/>
    <w:pPr>
      <w:spacing w:line="360" w:lineRule="auto"/>
      <w:ind w:firstLine="200" w:firstLineChars="200"/>
    </w:pPr>
    <w:rPr>
      <w:rFonts w:ascii="仿宋" w:hAnsi="Calibri" w:eastAsia="仿宋" w:cs="Times New Roman"/>
      <w:sz w:val="32"/>
      <w:szCs w:val="32"/>
    </w:rPr>
  </w:style>
  <w:style w:type="paragraph" w:customStyle="1" w:styleId="19">
    <w:name w:val="指南标题1"/>
    <w:qFormat/>
    <w:uiPriority w:val="0"/>
    <w:pPr>
      <w:keepNext/>
      <w:keepLines/>
      <w:widowControl w:val="0"/>
      <w:spacing w:after="120" w:line="360" w:lineRule="auto"/>
      <w:jc w:val="center"/>
      <w:outlineLvl w:val="0"/>
    </w:pPr>
    <w:rPr>
      <w:rFonts w:ascii="方正小标宋简体" w:hAnsi="Microsoft YaHei UI" w:eastAsia="方正小标宋简体" w:cs="Times New Roman"/>
      <w:b/>
      <w:color w:val="000000"/>
      <w:kern w:val="44"/>
      <w:sz w:val="36"/>
      <w:szCs w:val="36"/>
      <w:lang w:val="en-US" w:eastAsia="zh-CN" w:bidi="ar-SA"/>
    </w:rPr>
  </w:style>
  <w:style w:type="paragraph" w:customStyle="1" w:styleId="20">
    <w:name w:val="指南标题"/>
    <w:basedOn w:val="1"/>
    <w:qFormat/>
    <w:uiPriority w:val="0"/>
    <w:pPr>
      <w:spacing w:line="360" w:lineRule="auto"/>
      <w:ind w:left="1433" w:hanging="1433" w:hangingChars="398"/>
      <w:jc w:val="center"/>
    </w:pPr>
    <w:rPr>
      <w:rFonts w:ascii="方正小标宋简体" w:hAnsi="微软雅黑" w:eastAsia="方正小标宋简体" w:cs="Times New Roman"/>
      <w:sz w:val="36"/>
      <w:szCs w:val="36"/>
    </w:rPr>
  </w:style>
  <w:style w:type="table" w:customStyle="1" w:styleId="21">
    <w:name w:val="Table Normal1"/>
    <w:basedOn w:val="6"/>
    <w:qFormat/>
    <w:uiPriority w:val="0"/>
    <w:tblPr>
      <w:tblCellMar>
        <w:left w:w="0" w:type="dxa"/>
        <w:right w:w="0" w:type="dxa"/>
      </w:tblCellMar>
    </w:tblPr>
  </w:style>
  <w:style w:type="character" w:customStyle="1" w:styleId="22">
    <w:name w:val="font61"/>
    <w:basedOn w:val="8"/>
    <w:autoRedefine/>
    <w:qFormat/>
    <w:uiPriority w:val="0"/>
    <w:rPr>
      <w:rFonts w:hint="default" w:ascii="方正黑体_GBK" w:hAnsi="方正黑体_GBK" w:eastAsia="方正黑体_GBK" w:cs="方正黑体_GBK"/>
      <w:color w:val="FF0000"/>
      <w:sz w:val="24"/>
      <w:szCs w:val="24"/>
      <w:u w:val="none"/>
    </w:rPr>
  </w:style>
  <w:style w:type="character" w:customStyle="1" w:styleId="23">
    <w:name w:val="font31"/>
    <w:basedOn w:val="8"/>
    <w:autoRedefine/>
    <w:qFormat/>
    <w:uiPriority w:val="0"/>
    <w:rPr>
      <w:rFonts w:hint="eastAsia" w:ascii="宋体" w:hAnsi="宋体" w:eastAsia="宋体" w:cs="宋体"/>
      <w:color w:val="0070C0"/>
      <w:sz w:val="22"/>
      <w:szCs w:val="22"/>
      <w:u w:val="none"/>
    </w:rPr>
  </w:style>
  <w:style w:type="paragraph" w:customStyle="1" w:styleId="24">
    <w:name w:val="Revision"/>
    <w:hidden/>
    <w:unhideWhenUsed/>
    <w:qFormat/>
    <w:uiPriority w:val="99"/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942</Words>
  <Characters>997</Characters>
  <Lines>11</Lines>
  <Paragraphs>3</Paragraphs>
  <TotalTime>0</TotalTime>
  <ScaleCrop>false</ScaleCrop>
  <LinksUpToDate>false</LinksUpToDate>
  <CharactersWithSpaces>1441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2025-06-04T12:42:00Z</dcterms:created>
  <dc:creator/>
  <cp:lastModifiedBy/>
  <dcterms:modified xsi:type="dcterms:W3CDTF">2026-06-26T10:41:35Z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eyJoZGlkIjoiMjBmMzg2ZmFkMDc5YmExYmZmYjEyYjAyOWU2M2ViOWYiLCJ1c2VySWQiOiIxNDc1MjUxMTM2In0=</vt:lpwstr>
  </property>
  <property fmtid="{D5CDD505-2E9C-101B-9397-08002B2CF9AE}" pid="4" name="ICV">
    <vt:lpwstr>52254B7D4BEC44C7AC8CB2B97703B85B_13</vt:lpwstr>
  </property>
</Properties>
</file>