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233D7">
      <w:pPr>
        <w:spacing w:line="360" w:lineRule="auto"/>
        <w:ind w:left="1114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3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609A88A8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0" w:name="_Toc479323341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十二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届中国研究生智慧城市技术与创意设计大赛</w:t>
      </w:r>
    </w:p>
    <w:p w14:paraId="46070F9E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1" w:name="_Toc108088509"/>
      <w:bookmarkStart w:id="2" w:name="_Toc7210848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创意设计赛项目商业计划书</w:t>
      </w:r>
      <w:bookmarkEnd w:id="1"/>
      <w:bookmarkEnd w:id="2"/>
    </w:p>
    <w:p w14:paraId="02836DAA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bookmarkEnd w:id="0"/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乡艺有据——可信非遗体验编排智能体</w:t>
      </w:r>
    </w:p>
    <w:p w14:paraId="268B5F66">
      <w:pPr>
        <w:widowControl/>
        <w:spacing w:line="360" w:lineRule="auto"/>
        <w:ind w:firstLine="602" w:firstLineChars="200"/>
        <w:jc w:val="center"/>
        <w:rPr>
          <w:rFonts w:ascii="Times New Roman" w:hAnsi="Times New Roman" w:eastAsia="仿宋" w:cs="Times New Roman"/>
          <w:b/>
          <w:sz w:val="30"/>
          <w:szCs w:val="30"/>
        </w:rPr>
      </w:pPr>
    </w:p>
    <w:p w14:paraId="36E44C21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一、项目方案概述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乡艺有据连接非遗文化依据、接待条件与交付内容，帮助组织者在文案、预算、偏好或素材变化后同步更新讲解、活动、账目与双版体验包。主线展示蔚县剪纸的地域纠错、取消茶歇并增加手作时间、撤回素材后再交付；金山公开活动资料用于流程复用补证。采用本地免微调模型、程序复算和人工确认，全部经营数值为演示测算，真实接待资源待核实。</w:t>
      </w:r>
    </w:p>
    <w:p w14:paraId="333CAF99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二、项目团队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团队拟按文化资料与使用边界、活动配置与核算、交互和双版交付、经营流程复核四类职责协作，可由成员兼任。实际成员、经历、分工、投入时间和指导关系待用户按平台口径填写；正文不填培养单位或指导教师身份，不虚构传承人、合作机构或外部专家。</w:t>
      </w:r>
    </w:p>
    <w:p w14:paraId="011AC5C9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三、项目产品（服务）化（</w:t>
      </w:r>
      <w:r>
        <w:rPr>
          <w:rFonts w:hint="eastAsia" w:ascii="Times New Roman" w:hAnsi="Times New Roman" w:eastAsia="仿宋" w:cs="Times New Roman"/>
          <w:sz w:val="28"/>
          <w:szCs w:val="28"/>
        </w:rPr>
        <w:t>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08BA3715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项目产品（服务）特性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交付物是本地可运行系统、可维护的文化资料索引与活动配置、游客版与组织者版体验包，以及使用培训。游客版承载短讲解、观察任务、互动问题和日程；组织者版增加账本、资源、来源与使用状态。两版从同一已确认方案输出，条件改变后可定位并重做受影响交付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付费方拟为需要反复备课和修改活动的研学机构、乡村工坊或文旅服务机构，游客是最终使用者。持续使用的理由是活动条件和素材状态会变化，组织者需要可追溯的交付版本和可复算的安排，而不只是一次生成文案。该价值仍需真实流程试用与付费意愿验证。</w:t>
      </w:r>
    </w:p>
    <w:p w14:paraId="4134301F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2.</w:t>
      </w:r>
      <w:r>
        <w:rPr>
          <w:rFonts w:hint="eastAsia" w:ascii="Times New Roman" w:hAnsi="Times New Roman" w:eastAsia="仿宋" w:cs="Times New Roman"/>
          <w:sz w:val="28"/>
          <w:szCs w:val="28"/>
        </w:rPr>
        <w:t>产品（服务）化实施计划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先交付一个地域、一个场地的有限模块配置及培训，不扩建平台。软件服务方维护程序、资料结构和版本机制，文化内容维护者核对来源与地域表述，工坊经营维护者确认教师、容量、场地、费用和素材权限。更新需记录责任角色、日期与使用范围，未经确认的资源不会由模型补齐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扩展条件为可靠来源、当地文化复核、可使用素材和完整接待配置。已有成果是蔚县演示闭环与金山公开案例重建；后续计划是按简短试用说明联系组织者，记录真实问题、维护工时和授权意见。当前没有订单、真实采纳或合作背书。</w:t>
      </w:r>
    </w:p>
    <w:p w14:paraId="309856B1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四、项目产品（服务）市场与竞争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12365825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1.</w:t>
      </w:r>
      <w:r>
        <w:rPr>
          <w:rFonts w:hint="eastAsia" w:ascii="Times New Roman" w:hAnsi="Times New Roman" w:eastAsia="仿宋" w:cs="Times New Roman"/>
          <w:sz w:val="28"/>
          <w:szCs w:val="28"/>
        </w:rPr>
        <w:t>市场概述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优先服务小型研学组织者与有固定场地的乡村工坊，使用情境是亲子活动、课程备课及临时改排。采购动机假设为避免讲解、日程和手册相互矛盾，便于分工审核与反复使用。尚无目标人群规模、客户调查或市场份额数据，不用产业总规模推导项目收入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接触用户时演示同一句偏好如何改变模块和双版包，再记录实际返工类型、资料更新频率、可接受交付范围与收费。收费方案以服务工作量为依据，试用意向不计作订单，流程反馈需有知情同意。</w:t>
      </w:r>
    </w:p>
    <w:p w14:paraId="4060CB3C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2.</w:t>
      </w:r>
      <w:r>
        <w:rPr>
          <w:rFonts w:hint="eastAsia" w:ascii="Times New Roman" w:hAnsi="Times New Roman" w:eastAsia="仿宋" w:cs="Times New Roman"/>
          <w:sz w:val="28"/>
          <w:szCs w:val="28"/>
        </w:rPr>
        <w:t>竞争优势分析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原始资料比较限三项：Dify知识库检索测试文档明确支持检索检查和应用检索事件记录；Google的NotebookLM帮助入口当前为Gemini Notebook，明确支持基于来源的回答、行内引用及学习资料生成；TravelPlanner（ICML 2024）研究多约束旅行规划与工具使用。三者分别提供知识工作流、来源驱动表达和规划研究参考，均不是没有相关能力。来源URL、访问日期和文档位置见项目说明书[4]—[6]及补充来源记录。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乡艺有据的差异定位是把地域证据、经营配置、教学内容和双版交付放入同一可失效的版本关系，再用确定性程序支撑自然语言改排。我们未对上述产品运行同题测试，不能从文档未提及某功能推断产品做不到，也不据此宣称领先。金山fixed记录只展示本次流程差异，不能外推为通用规划优势。</w:t>
      </w:r>
    </w:p>
    <w:p w14:paraId="0E4F397E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3.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项目实施风险及应对措施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文化与权利风险：来源核验不替代社区判断或素材许可，需指定复核者；变更后旧文件须停止使用。经营风险：演示资源不是真实可预约承诺，场地安全容量、成本与教师资质待核实。技术风险：本地模型仍可能误解或故障，保留具体冲突、人工确认和失败记录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维护与商业风险：资料和资源会过期，服务方与工坊方需要分工维护；小客流工坊可能无法独立承担软件服务费，应先验证采购主体、共享配置与资金来源。无订单、收入增长或减排实测，相关价值不能当作已实现成果。</w:t>
      </w:r>
    </w:p>
    <w:p w14:paraId="1A4327CD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五、商业模式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600EA843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项目产品（服务）的开发、生产（服务）策略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项目方提供部署、资料整理、模块配置、培训及维护，交付包含原型、配置清单、可复核双版样张和更新流程。一次性配置费覆盖环境与场景接入，按年维护费覆盖约定更新次数、问题处理及培训，不出售文化授权或冒充现场经营者。免费本地推理指不新增模型API费；设备、电力和人工仍计成本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软件账情景假设：每客户配置费3000元、年维护费1800元，首年3客户收入3×4800=14400元。每客户配置24小时、维护12小时，人工按60元/小时计，直接人工3×36×60=6480元；年度设备折旧1200元、电费360元、其他服务支出600元，合计2160元；首年经营余量14400−6480−2160=5760元，未扣税费、获客和初始研发。以上全部为团队情景假设，非报价、订单或真实利润。</w:t>
      </w:r>
    </w:p>
    <w:p w14:paraId="2BA4261A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项目产品（服务）的营销策略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以蔚县三段真实操作与可下载双版包联系组织者，金山公告重建作为外部资料补证。试用关注跨文件一致性、实际人工复核投入与维护责任，不使用未经授权的机构标识，不承诺收益。先验证单场地服务是否被持续需要，再扩展经确认的地域与模块配置。</w:t>
      </w:r>
    </w:p>
    <w:p w14:paraId="13A23AEF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3.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项目产品（服务）获利方式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两本账不混用：软件方收配置与维护服务费；工坊方收活动费或获得项目资助，向讲解、手作人员及材料、组织服务支付费用。讲解和手作人员收款是服务毛额，不能当作项目软件收入或村民净增收。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工坊账情景假设：沿用蔚县796元重排方案，8人按每人110元收款，一场880元；支出为本地服务524元+材料192元+组织80元=796元，单场结余84元。每月4场，收款3520元、支出3184元、结余336元，均未扣场租、保险、税费及软件服务费。若由此工坊单独承担上述软件年维护1800元（每月150元）与配置费3000元按首年12月分摊（每月250元），月余量为−64元；低频小班需要真实定价、资助或多场地组织者分摊验证，不能宣称已经可盈利。金山702元仅为组织支出演示测算，其历史免费公告未披露资金来源，不用蔚县收费套算金山收入。</w:t>
      </w:r>
    </w:p>
    <w:p w14:paraId="3074D8A5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4.</w:t>
      </w:r>
      <w:r>
        <w:rPr>
          <w:rFonts w:hint="eastAsia" w:ascii="Times New Roman" w:hAnsi="Times New Roman" w:eastAsia="仿宋" w:cs="Times New Roman"/>
          <w:sz w:val="28"/>
          <w:szCs w:val="28"/>
        </w:rPr>
        <w:t>（若创业）企业发展计划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当前以参赛原型和试用验证为目标，没有已成立企业、融资或合作承诺。假设初始研发160小时×60元=9600元，计入后首年情景余额为−3840元；不隐藏前期投入。若进入商业化，需先明确合同、服务责任、文化许可及知识产权，再以真实工时和现金流调整服务范围。</w:t>
      </w:r>
    </w:p>
    <w:p w14:paraId="7111C5F6">
      <w:pPr>
        <w:widowControl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六、预期经济效益分析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500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以下仅为情景，非营收预测。软件账首年3客户：收入14400元，交付维护人工6480元，设备电力等2160元，经营余量5760元；计入假设研发9600元后为−3840元，尚未扣税费和获客。若每客户年维护增加6小时，余量减少1080元；服务价格整体降20%，余量减少2880元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工坊账按8人×110元×4场/月收款3520元，796元/场支出3184元，余额336元；单独负担软件维护与首年配置分摊后为−64元/月，另有未计场租、保险及税费。若票价降至100元，软件费前余额为16元/月；若本地服务费上浮20%，软件费前余额为−83.20元/月。服务报酬已包含在支出中，不能再次当作净增收。真实收益需试用、订单和完整成本支持。</w:t>
      </w:r>
    </w:p>
    <w:p w14:paraId="69C78C76">
      <w:bookmarkStart w:id="3" w:name="_GoBack"/>
      <w:bookmarkEnd w:id="3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8D0356CB-A0C7-4E57-BC15-CDE45039104F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75B963AF-E269-41D7-97FE-2847A96EEA20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A1866DC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C305F8D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2026-06-26T10:42:36Z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C02EA66F6F0A4479B5F2E58D00BF7643_13</vt:lpwstr>
  </property>
</Properties>
</file>