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71D61C">
      <w:pPr>
        <w:spacing w:line="360" w:lineRule="auto"/>
        <w:ind w:left="836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2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38308DFF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0" w:name="_Toc479323114"/>
      <w:bookmarkStart w:id="1" w:name="_Toc479323335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十二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届中国研究生智慧城市技术与创意设计大赛</w:t>
      </w:r>
      <w:bookmarkEnd w:id="0"/>
      <w:bookmarkEnd w:id="1"/>
      <w:bookmarkStart w:id="2" w:name="_Toc479323115"/>
      <w:bookmarkStart w:id="3" w:name="_Toc479323336"/>
    </w:p>
    <w:p w14:paraId="5E124335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4" w:name="_Toc108088508"/>
      <w:bookmarkStart w:id="5" w:name="_Toc7210847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</w:t>
      </w:r>
      <w:bookmarkEnd w:id="2"/>
      <w:bookmarkEnd w:id="3"/>
      <w:bookmarkStart w:id="6" w:name="_Toc479323337"/>
      <w:bookmarkStart w:id="7" w:name="_Toc479323116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项目说明书</w:t>
      </w:r>
      <w:bookmarkEnd w:id="4"/>
      <w:bookmarkEnd w:id="5"/>
      <w:bookmarkEnd w:id="6"/>
      <w:bookmarkEnd w:id="7"/>
    </w:p>
    <w:p w14:paraId="76EB37B1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乡艺有据——可信非遗体验编排智能体</w:t>
      </w:r>
    </w:p>
    <w:p w14:paraId="3E1A4D6B">
      <w:pPr>
        <w:widowControl/>
        <w:snapToGrid w:val="0"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</w:pPr>
    </w:p>
    <w:p w14:paraId="32E7B382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一、立项依据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20B01077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组织者需要的不是一段好听的非遗介绍，而是一场可以向游客解释、向服务人员交接、向负责人复核的活动。讲解、活动安排、账本与手册常由不同资料和不同文件组成：改了预算却漏改日程，撤回图片却继续在手册中使用，或把相近地域的工艺描述互换，都会产生矛盾承诺。乡艺有据针对这一衔接问题，把文化依据与接待条件转化为共享同一校验快照的双版体验包。痛点来自项目场景分析，尚未以从业者调查证明其普遍程度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主案例采用蔚县剪纸文化资料和团队设置的同场地经营配置。中国非物质文化遗产网记载蔚县剪纸以阴刻为主、阳刻为辅，并以多色点染彩绘为特色；丰宁满族剪纸条目记载其以阳刻为主、阴刻为辅。[1][2] 地域差异说明文化核验不能只匹配“剪纸”关键词。文化介绍也不能证明工坊当日营业、某位教师到场或素材获准商用，三类条件需要不同依据。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国内外已有相关技术与产品具备可借鉴能力。Dify官方文档说明知识库检索测试可记录应用检索事件[4]；Google的NotebookLM帮助入口当前重定向为Gemini Notebook，文档支持依据来源回答、行内引用及学习指南等表达[5]；TravelPlanner研究提供带工具和多重约束的旅行规划基准，指出其评测设置下语言智能体仍存在约束跟踪困难[6]。因此，引用、检索与工具调用本身不是本项目创新。我们的贡献聚焦于非遗单场活动的证据与交付依赖，以及受约束的活动重编排。这里只进行原始文档比较，未对替代产品实测，也不把论文历史成绩与本项目成绩直接比较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外部补充案例采用金山区人民政府公开剪纸小夜灯活动公告[3]。它提供历史时段、地点、对象、招募名额及免费条件；团队另设8人、教师、场地、材料与费用假设，使用同一检索、编排、确认和导出闭环。该案例只称“基于公开活动资料的案例重建与系统验证”，不能写成真实工坊落地、合作背书或自动适配所有非遗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jc w:val="left"/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资料依据（访问2026年10月3日；文化资料初次入库为9月30日）：[1]中国非物质文化遗产网《剪纸（蔚县剪纸）》https://www.ihchina.cn/project_details/20184.html；[2]《剪纸（丰宁满族剪纸）》https://www.ihchina.cn/project_details/20183.html；[3]金山区人民政府公告，2026年8月6日，https://www.shanghai.gov.cn/nw17239/20260806/ab8799763c384e7eb1b254cebf1e0cf5.html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相关原始资料：[4]Dify，Test Knowledge Retrieval，https://docs.dify.ai/en/cloud/use-dify/knowledge/test-retrieval（页面更新2026年6月6日）；[5]Google，Learn about Gemini Notebook，https://support.google.com/gemininotebook/answer/16164461（未显示发布日期）；[6]Xie等，TravelPlanner，ICML 2024，arXiv:2402.01622v4，https://arxiv.org/abs/2402.01622（v4更新2024年10月23日）。三项均于2026年10月3日核对原始页面。</w:t>
      </w:r>
    </w:p>
    <w:p w14:paraId="77AED8AD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二、项目创新内容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3000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3F8F2776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1．</w:t>
      </w:r>
      <w:r>
        <w:rPr>
          <w:rFonts w:hint="eastAsia" w:ascii="Times New Roman" w:hAnsi="Times New Roman" w:eastAsia="仿宋" w:cs="Times New Roman"/>
          <w:sz w:val="28"/>
          <w:szCs w:val="28"/>
        </w:rPr>
        <w:t>项目总体思路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作品的交付单位是一场经过核验和确认的体验，而非一条聊天回答。组织者输入文化文案、自然语言偏好与接待条件，模型负责理解和表达，程序负责候选求解、金额、时间与资源校验，人负责文化判断、真实资源及授权确认。两项创新通过同一场蔚县剪纸体验连续呈现：先纠正讲解，再改变偏好，最后处理素材撤回。</w:t>
      </w:r>
    </w:p>
    <w:p w14:paraId="6B1AD3D8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2．</w:t>
      </w:r>
      <w:r>
        <w:rPr>
          <w:rFonts w:hint="eastAsia" w:ascii="Times New Roman" w:hAnsi="Times New Roman" w:eastAsia="仿宋" w:cs="Times New Roman"/>
          <w:sz w:val="28"/>
          <w:szCs w:val="28"/>
        </w:rPr>
        <w:t>可行性分析：项目的技术或实施可行性。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原型已在本机使用Qwen3-14B Q4_K_M、Ollama、LangGraph OSS、FastAPI和SQLite真实运行，不微调、不接付费API。模型调用最多8次、方案修订最多2轮。八个同场地演示模块及原轻、深套餐均来自配置；单组顺序活动，不自动虚构跨村路线或并行接待。软件没有新增模型API费用，设备、电力、资料维护与人工复核仍有成本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主线真实操作记录中，先有讲解、50分钟基础手作与茶歇；将预算改为人均110元并明确“不安排茶歇，多留手作时间”后，系统处理文字与表单冲突，再改为讲解、60分钟深度手作与20分钟延伸练习。手作50→80分钟，全程90→100分钟，组织支出演示测算720→796元；新方案本地服务报酬524元、材料192元、组织80元合计796元，低于8人880元预算。素材撤回后实际完成失效、重新核验、确认及双版导出，原始记录见补充验证资料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金山补充案例记录为7次模型调用、22.756秒，重建30分钟现场教学及90分钟手作，8人组织支出演示测算702元。30+90来自历史公告安排，不是已证明的工艺最低时间；110分钟冲突来自本次重建保留原环节与时长。真实教师、安全容量、成本及授权仍待确认，接受演示假设只允许原型计算，不表示实际资源已核实。</w:t>
      </w:r>
    </w:p>
    <w:p w14:paraId="4F2E3F0A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3．</w:t>
      </w:r>
      <w:r>
        <w:rPr>
          <w:rFonts w:hint="eastAsia" w:ascii="Times New Roman" w:hAnsi="Times New Roman" w:eastAsia="仿宋" w:cs="Times New Roman"/>
          <w:sz w:val="28"/>
          <w:szCs w:val="28"/>
        </w:rPr>
        <w:t>本项目的特色与创新之处。</w:t>
      </w:r>
      <w:r>
        <w:rPr>
          <w:rFonts w:ascii="Times New Roman" w:hAnsi="Times New Roman" w:eastAsia="仿宋" w:cs="Times New Roman"/>
          <w:sz w:val="28"/>
          <w:szCs w:val="28"/>
        </w:rPr>
        <w:t xml:space="preserve"> 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贡献一：让文化证据贯穿交付及变更。来源关联陈述、讲解卡、教学内容和体验方案；素材使用状态变化后，系统定位受影响关系，撤销旧确认并阻断旧任务再次导出。蔚县主线撤回项目原创装饰素材后，真实重新核验并导出游客版、组织者版，新包不再含该素材。这里的价值在于防止资料状态与交付版本脱节，而非仅展示引用链接。已下载文件仍须组织者停止使用并重新分发，系统不能远程抹除离线文件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贡献二：让一句自然语言真正改变可交付活动。模型提取“不安排茶歇、多留手作时间”等偏好，程序在配置内组合、排序和复算，反馈冲突后由模型修订表达或请人选择条件。对应证据是50→80分钟手作及模块、日程、账本、分众内容与双版包同步变化；不私自改人数、报价、教师或时长。观察任务与互动提问标注为教学创意，其文化前提仍需来源支持。两项贡献是面向特定业务的集成设计与实现，不认定为行业首创或通用规划突破。</w:t>
      </w:r>
    </w:p>
    <w:p w14:paraId="48310B99">
      <w:pPr>
        <w:widowControl/>
        <w:snapToGrid w:val="0"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三、实施方案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3000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2432FBDC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1．输入分流。保留原文句段位置，将文化事实、经营承诺与用户需求分开。地域事实按项目、地域检索并区分来源支持、矛盾、资料分歧和信息不足；未检索到不判为错误。经营承诺需要接待方提供依据；文字与表单中的人数、时长或偏好冲突时，界面展示具体差异并等待选择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2．有限求解。文化资料与经营配置分别存储。模块的时长、费用、教师、场地、容量、互斥与依赖关系由团队或运营者配置。程序枚举有限组合，按明确偏好排序，以整数分计费并排定连续日程。金山的配置时长表示“本次重建保留公告安排”，不表示工艺最低时间；不同性质的时间依据分别说明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3．分众表达与确认。已核验事实转成短讲解、观察任务和提问，教学创意与文化事实分别标识；生成后扫描新增文化断言和活动范围，未通过则在调用上限内修订或停止。人工确认绑定方案、来源、素材及配置版本，导出再次复算和校验。真实资源未核实时只能交付标明边界的模拟体验包，不能承诺真实可预约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4．变更同步。来源或素材使用状态变化后定位受影响任务、陈述、卡片和方案，旧确认失效。重新核验并确认后，两版从同一有效快照导出；来源变化不等于联网自动监测，当前需主动维护状态。检索文本只作数据，不执行夹带指令。超容量且资源不足时给出具体缺口，不用笼统追问替代计算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5．展示与验证。纸白、墨绿、朱红的三页保留，以纠错前后、重排差异和双版包为主要画面。视频复用真实本地运行截帧，明确回放和演示数据；约3分钟是内部展示目标。金山仅为外部资料接入补证，与蔚县案例分别标注地域。主要操作记录、失败和输入版本随补充材料保留，不以测试数量代替价值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版本与样本说明：主线操作来自3833ce1交付记录的真实UI任务；旧24例首跑对应其冻结实现，完整交付/必要确认/具体拒绝分别为Agent 12/12、6/6、5/6，fixed 10/12、5/6、3/6。随后943ac3e候选实现对同24条已见输入各复跑一次，分别为11/12、6/6、6/6与9/12、5/6、4/6，故障不重试。它们不是本轮新成绩或第三方评测。本轮不扩大测试集；金山fixed只保留流程差异，且与主运行文字需求存在差异，不作为严格同输入因果对照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6．传承与可持续接待。文化特色由地域来源与人工复核保留，不替地方人员认定传统技艺；本地讲解与手作服务报酬在账本单列，便于协商而不宣称净增收。材料用量、工具复用与接待容量成为方案约束，支持低影响接待；尚无实测节纸、减排或传承成效指标。软件交付后由指定内容维护者和经营维护者分别更新，版本确认贯穿持续使用。</w:t>
      </w:r>
    </w:p>
    <w:p w14:paraId="5EEC48CD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四、应用前景分析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500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首批应用拟面向已有固定场地和服务人员、需经常调整客群与预算的小型工坊及研学组织者。预期价值是降低多份材料漏改风险，使文化依据、账目和使用边界可交接；没有真实用户对照，不宣称节省工时或已提高收入。软件服务可按部署配置和按期维护收费，工坊活动账另计。扩展地域前需要可靠资料、当地复核者、可使用素材以及真实接待配置，不直接复制剪纸时长或费用。现已完成本地原型、双版包和公开案例重建；真实流程试用、采购意愿、授权及经济成效是下一阶段计划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CE049972-3873-4AB5-9E06-49CFC9EB777D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65EDA0BA-F9EB-4E89-9BB7-EE2D8C3D8048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C305F8D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2026-06-26T10:42:11Z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86668F13B8C44D3EB2969BC94BB20520_13</vt:lpwstr>
  </property>
</Properties>
</file>