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50CB2E">
      <w:pPr>
        <w:spacing w:line="360" w:lineRule="auto"/>
        <w:ind w:left="1114" w:hanging="1114" w:hangingChars="398"/>
        <w:jc w:val="left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</w:rPr>
        <w:t>附件</w:t>
      </w:r>
      <w:r>
        <w:rPr>
          <w:rFonts w:ascii="Times New Roman" w:hAnsi="Times New Roman" w:eastAsia="仿宋" w:cs="Times New Roman"/>
          <w:sz w:val="28"/>
          <w:szCs w:val="28"/>
        </w:rPr>
        <w:t>1</w:t>
      </w:r>
      <w:r>
        <w:rPr>
          <w:rFonts w:hint="eastAsia" w:ascii="Times New Roman" w:hAnsi="Times New Roman" w:eastAsia="仿宋" w:cs="Times New Roman"/>
          <w:sz w:val="28"/>
          <w:szCs w:val="28"/>
        </w:rPr>
        <w:t>：</w:t>
      </w:r>
    </w:p>
    <w:p w14:paraId="4C609DEA">
      <w:pPr>
        <w:widowControl/>
        <w:spacing w:line="360" w:lineRule="auto"/>
        <w:jc w:val="center"/>
        <w:rPr>
          <w:rFonts w:ascii="方正小标宋简体" w:hAnsi="方正小标宋简体" w:eastAsia="方正小标宋简体" w:cs="方正小标宋简体"/>
          <w:sz w:val="36"/>
          <w:szCs w:val="36"/>
        </w:rPr>
      </w:pPr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第</w:t>
      </w:r>
      <w:r>
        <w:rPr>
          <w:rFonts w:hint="eastAsia" w:ascii="方正小标宋简体" w:hAnsi="方正小标宋简体" w:eastAsia="方正小标宋简体" w:cs="方正小标宋简体"/>
          <w:sz w:val="36"/>
          <w:szCs w:val="36"/>
          <w:lang w:eastAsia="zh-Hans"/>
        </w:rPr>
        <w:t>十</w:t>
      </w:r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二届中国研究生智慧城市技术与创意设计大赛</w:t>
      </w:r>
      <w:bookmarkStart w:id="0" w:name="_Toc479323112"/>
      <w:bookmarkStart w:id="1" w:name="_Toc479323333"/>
    </w:p>
    <w:p w14:paraId="23A7038F">
      <w:pPr>
        <w:spacing w:line="360" w:lineRule="auto"/>
        <w:ind w:left="210" w:leftChars="100" w:right="210" w:rightChars="100"/>
        <w:jc w:val="center"/>
        <w:rPr>
          <w:rFonts w:ascii="方正小标宋简体" w:hAnsi="方正小标宋简体" w:eastAsia="方正小标宋简体" w:cs="方正小标宋简体"/>
          <w:sz w:val="36"/>
          <w:szCs w:val="36"/>
        </w:rPr>
      </w:pPr>
      <w:bookmarkStart w:id="2" w:name="_Toc108088507"/>
      <w:bookmarkStart w:id="3" w:name="_Toc7210846"/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创意设计赛</w:t>
      </w:r>
      <w:bookmarkEnd w:id="0"/>
      <w:bookmarkEnd w:id="1"/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项目简表</w:t>
      </w:r>
      <w:bookmarkEnd w:id="2"/>
      <w:bookmarkEnd w:id="3"/>
    </w:p>
    <w:p w14:paraId="5CA8D785">
      <w:pPr>
        <w:widowControl/>
        <w:spacing w:line="360" w:lineRule="auto"/>
        <w:jc w:val="center"/>
        <w:rPr>
          <w:rFonts w:ascii="Times New Roman" w:hAnsi="Times New Roman" w:eastAsia="仿宋" w:cs="Times New Roman"/>
          <w:sz w:val="28"/>
          <w:szCs w:val="36"/>
        </w:rPr>
      </w:pPr>
      <w:r>
        <w:rPr>
          <w:rFonts w:hint="eastAsia" w:ascii="Times New Roman" w:hAnsi="Times New Roman" w:eastAsia="仿宋" w:cs="Times New Roman"/>
          <w:sz w:val="28"/>
          <w:szCs w:val="36"/>
          <w:color w:val="000000"/>
        </w:rPr>
        <w:t xml:space="preserve">（申报正文草案）</w:t>
      </w:r>
    </w:p>
    <w:tbl>
      <w:tblPr>
        <w:tblStyle w:val="7"/>
        <w:tblW w:w="1049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42" w:type="dxa"/>
          <w:left w:w="108" w:type="dxa"/>
          <w:bottom w:w="142" w:type="dxa"/>
          <w:right w:w="108" w:type="dxa"/>
        </w:tblCellMar>
      </w:tblPr>
      <w:tblGrid>
        <w:gridCol w:w="1792"/>
        <w:gridCol w:w="1464"/>
        <w:gridCol w:w="1570"/>
        <w:gridCol w:w="1842"/>
        <w:gridCol w:w="3822"/>
      </w:tblGrid>
      <w:tr w14:paraId="7B788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shd w:val="clear" w:color="auto" w:fill="E7E6E6"/>
            <w:vAlign w:val="center"/>
          </w:tcPr>
          <w:p w14:paraId="7CAF9BDA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作品名称</w:t>
            </w:r>
          </w:p>
        </w:tc>
        <w:tc>
          <w:tcPr>
            <w:tcW w:w="8698" w:type="dxa"/>
            <w:gridSpan w:val="4"/>
          </w:tcPr>
          <w:p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color w:val="000000"/>
              </w:rPr>
              <w:t xml:space="preserve">乡艺有据——可信非遗体验编排智能体</w:t>
            </w:r>
          </w:p>
        </w:tc>
      </w:tr>
      <w:tr w14:paraId="67477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shd w:val="clear" w:color="auto" w:fill="E7E6E6"/>
            <w:vAlign w:val="center"/>
          </w:tcPr>
          <w:p w14:paraId="605C8C88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团队名称</w:t>
            </w:r>
          </w:p>
        </w:tc>
        <w:tc>
          <w:tcPr>
            <w:tcW w:w="8698" w:type="dxa"/>
            <w:gridSpan w:val="4"/>
          </w:tcPr>
          <w:p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color w:val="000000"/>
              </w:rPr>
              <w:t xml:space="preserve">待补（匿名团队名称）</w:t>
            </w:r>
          </w:p>
        </w:tc>
      </w:tr>
      <w:tr w14:paraId="2DE26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shd w:val="clear" w:color="auto" w:fill="E7E6E6"/>
            <w:vAlign w:val="center"/>
          </w:tcPr>
          <w:p w14:paraId="5A5714F5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参赛</w:t>
            </w:r>
            <w:r>
              <w:rPr>
                <w:rFonts w:hint="eastAsia" w:ascii="Times New Roman" w:hAnsi="Times New Roman" w:eastAsia="仿宋" w:cs="Times New Roman"/>
                <w:kern w:val="0"/>
                <w:sz w:val="24"/>
                <w:lang w:eastAsia="zh-Hans"/>
              </w:rPr>
              <w:t>赛道</w:t>
            </w: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/</w:t>
            </w:r>
          </w:p>
          <w:p w14:paraId="781AD66F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赛题</w:t>
            </w:r>
          </w:p>
        </w:tc>
        <w:tc>
          <w:tcPr>
            <w:tcW w:w="8698" w:type="dxa"/>
            <w:gridSpan w:val="4"/>
            <w:vAlign w:val="center"/>
          </w:tcPr>
          <w:p w14:paraId="4FAF87E1">
            <w:pPr>
              <w:widowControl/>
              <w:jc w:val="distribute"/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</w:pP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1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.定向赛道-低空经济与空天科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□ 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2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.定向赛道-智慧交通与数字孪生</w:t>
            </w: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kern w:val="0"/>
                <w:sz w:val="24"/>
                <w:lang w:val="en-US" w:eastAsia="zh-CN"/>
              </w:rPr>
              <w:t xml:space="preserve">   </w:t>
            </w:r>
            <w:r>
              <w:rPr>
                <w:rFonts w:ascii="Times New Roman" w:hAnsi="Times New Roman" w:eastAsia="仿宋" w:cs="Times New Roman"/>
                <w:kern w:val="0"/>
                <w:sz w:val="24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  </w:t>
            </w:r>
          </w:p>
          <w:p w14:paraId="66DE1D95">
            <w:pPr>
              <w:widowControl/>
              <w:jc w:val="distribute"/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</w:pP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3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.定向赛道-智能建造与城市更新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 4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.定向赛道-未来城市与太空人居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   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</w:t>
            </w:r>
          </w:p>
          <w:p w14:paraId="605D67D5">
            <w:pPr>
              <w:widowControl/>
              <w:jc w:val="distribute"/>
              <w:rPr>
                <w:rFonts w:ascii="Times New Roman" w:hAnsi="Times New Roman" w:eastAsia="仿宋" w:cs="Times New Roman"/>
                <w:color w:val="000000"/>
                <w:kern w:val="0"/>
                <w:sz w:val="32"/>
                <w:szCs w:val="21"/>
              </w:rPr>
            </w:pPr>
            <w:bookmarkStart w:id="4" w:name="OLE_LINK1"/>
            <w:bookmarkEnd w:id="4"/>
            <w:r>
              <w:rPr>
                <w:rFonts w:ascii="Times New Roman" w:hAnsi="Times New Roman" w:eastAsia="仿宋" w:cs="Times New Roman"/>
                <w:kern w:val="0"/>
                <w:sz w:val="24"/>
                <w:szCs w:val="18"/>
                <w:color w:val="000000"/>
              </w:rPr>
              <w:t xml:space="preserve">5.定向赛道-智慧文旅与乡村振兴 ☑    6.定向赛道-智慧能源与环境         □  </w:t>
            </w:r>
          </w:p>
          <w:p w14:paraId="054581E6">
            <w:pPr>
              <w:widowControl/>
              <w:jc w:val="distribute"/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</w:pP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7.</w:t>
            </w:r>
            <w:bookmarkStart w:id="5" w:name="OLE_LINK2"/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定向赛道-</w:t>
            </w:r>
            <w:bookmarkEnd w:id="5"/>
            <w:r>
              <w:rPr>
                <w:rFonts w:hint="eastAsia" w:ascii="Times New Roman" w:hAnsi="Times New Roman" w:eastAsia="仿宋" w:cs="仿宋"/>
                <w:kern w:val="0"/>
                <w:sz w:val="24"/>
              </w:rPr>
              <w:t xml:space="preserve">韧性城市与智慧应急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 8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.定向赛道-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AI与具身智能</w:t>
            </w:r>
            <w:r>
              <w:rPr>
                <w:rFonts w:hint="eastAsia" w:ascii="Times New Roman" w:hAnsi="Times New Roman" w:eastAsia="仿宋" w:cs="仿宋"/>
                <w:kern w:val="0"/>
                <w:sz w:val="24"/>
              </w:rPr>
              <w:t xml:space="preserve">  </w:t>
            </w:r>
            <w:r>
              <w:rPr>
                <w:rFonts w:hint="eastAsia" w:ascii="Times New Roman" w:hAnsi="Times New Roman" w:eastAsia="仿宋" w:cs="仿宋"/>
                <w:kern w:val="0"/>
                <w:sz w:val="24"/>
                <w:lang w:val="en-US" w:eastAsia="zh-CN"/>
              </w:rPr>
              <w:t xml:space="preserve">       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</w:p>
          <w:p w14:paraId="3690E679">
            <w:pPr>
              <w:widowControl/>
              <w:jc w:val="distribute"/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</w:pP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9.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定向赛道-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>智慧生活与大健康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</w:t>
            </w:r>
            <w:bookmarkStart w:id="6" w:name="OLE_LINK7"/>
            <w:bookmarkStart w:id="7" w:name="OLE_LINK6"/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□ </w:t>
            </w:r>
            <w:bookmarkEnd w:id="6"/>
            <w:bookmarkEnd w:id="7"/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10.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定向赛道-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>城市运维与安全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   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</w:p>
          <w:p w14:paraId="7CECD00F">
            <w:pPr>
              <w:widowControl/>
              <w:rPr>
                <w:rFonts w:hint="default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>11.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定向赛道-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>智能材料与绿色建造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□ </w:t>
            </w:r>
          </w:p>
          <w:p w14:paraId="15C10EC3">
            <w:pPr>
              <w:widowControl/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</w:pP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1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>2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.自由赛道 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             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</w:p>
          <w:p w14:paraId="62D0BAA6">
            <w:pPr>
              <w:widowControl/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</w:pP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1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>3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.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企业揭榜赛道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 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         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</w:p>
          <w:p w14:paraId="784F9023">
            <w:pPr>
              <w:widowControl/>
              <w:rPr>
                <w:rFonts w:hint="default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14.地方特色赛道              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</w:p>
        </w:tc>
      </w:tr>
      <w:tr w14:paraId="29D2A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shd w:val="clear" w:color="auto" w:fill="E7E6E6"/>
            <w:vAlign w:val="center"/>
          </w:tcPr>
          <w:p w14:paraId="1D0A8338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队长姓名</w:t>
            </w:r>
          </w:p>
        </w:tc>
        <w:tc>
          <w:tcPr>
            <w:tcW w:w="3034" w:type="dxa"/>
            <w:gridSpan w:val="2"/>
          </w:tcPr>
          <w:p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</w:rPr>
            </w:pPr>
            <w:r>
              <w:rPr>
                <w:color w:val="000000"/>
              </w:rPr>
              <w:t xml:space="preserve">待按平台口径填写</w:t>
            </w:r>
          </w:p>
        </w:tc>
        <w:tc>
          <w:tcPr>
            <w:tcW w:w="1842" w:type="dxa"/>
            <w:shd w:val="clear" w:color="auto" w:fill="E7E6E6"/>
          </w:tcPr>
          <w:p w14:paraId="4622BAB2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队长联系电话</w:t>
            </w:r>
          </w:p>
        </w:tc>
        <w:tc>
          <w:tcPr>
            <w:tcW w:w="3822" w:type="dxa"/>
          </w:tcPr>
          <w:p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color w:val="000000"/>
              </w:rPr>
              <w:t xml:space="preserve">待补</w:t>
            </w:r>
          </w:p>
        </w:tc>
      </w:tr>
      <w:tr w14:paraId="7741A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shd w:val="clear" w:color="auto" w:fill="E7E6E6"/>
            <w:vAlign w:val="center"/>
          </w:tcPr>
          <w:p w14:paraId="7DA46AC5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团队成员</w:t>
            </w:r>
          </w:p>
        </w:tc>
        <w:tc>
          <w:tcPr>
            <w:tcW w:w="8698" w:type="dxa"/>
            <w:gridSpan w:val="4"/>
          </w:tcPr>
          <w:p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color w:val="000000"/>
              </w:rPr>
              <w:t xml:space="preserve">待按平台口径填写</w:t>
            </w:r>
          </w:p>
        </w:tc>
      </w:tr>
      <w:tr w14:paraId="372E1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restart"/>
            <w:shd w:val="clear" w:color="auto" w:fill="E7E6E6"/>
            <w:vAlign w:val="center"/>
          </w:tcPr>
          <w:p w14:paraId="2838540A">
            <w:pPr>
              <w:widowControl/>
              <w:autoSpaceDN w:val="0"/>
              <w:jc w:val="center"/>
              <w:rPr>
                <w:rFonts w:ascii="Times New Roman" w:hAnsi="Times New Roman" w:eastAsia="仿宋" w:cs="Times New Roman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报告内容</w:t>
            </w:r>
          </w:p>
          <w:p w14:paraId="252E61EB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摘要</w:t>
            </w:r>
          </w:p>
        </w:tc>
        <w:tc>
          <w:tcPr>
            <w:tcW w:w="8698" w:type="dxa"/>
            <w:gridSpan w:val="4"/>
            <w:shd w:val="clear" w:color="auto" w:fill="E7E6E6"/>
            <w:vAlign w:val="center"/>
          </w:tcPr>
          <w:p w14:paraId="4BF3C018"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  <w:keepNext/>
            </w:pP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（</w:t>
            </w:r>
            <w:r>
              <w:rPr>
                <w:rFonts w:ascii="Times New Roman" w:hAnsi="Times New Roman" w:eastAsia="仿宋" w:cs="Times New Roman"/>
                <w:b/>
                <w:kern w:val="0"/>
                <w:sz w:val="24"/>
              </w:rPr>
              <w:t>1</w:t>
            </w: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）项目背景</w:t>
            </w:r>
          </w:p>
        </w:tc>
      </w:tr>
      <w:tr w14:paraId="3639B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1DDCBF85">
            <w:pPr>
              <w:widowControl/>
              <w:autoSpaceDN w:val="0"/>
              <w:jc w:val="center"/>
              <w:rPr>
                <w:rFonts w:ascii="Times New Roman" w:hAnsi="Times New Roman" w:eastAsia="仿宋" w:cs="Times New Roman"/>
                <w:kern w:val="0"/>
                <w:sz w:val="24"/>
              </w:rPr>
            </w:pPr>
          </w:p>
        </w:tc>
        <w:tc>
          <w:tcPr>
            <w:tcW w:w="8698" w:type="dxa"/>
            <w:gridSpan w:val="4"/>
          </w:tcPr>
          <w:p>
            <w:pPr>
              <w:widowControl/>
              <w:rPr>
                <w:rFonts w:ascii="Times New Roman" w:hAnsi="Times New Roman" w:eastAsia="仿宋" w:cs="Times New Roman"/>
                <w:color w:val="595959"/>
                <w:kern w:val="0"/>
                <w:sz w:val="24"/>
              </w:rPr>
            </w:pPr>
            <w:r>
              <w:rPr>
                <w:rFonts w:ascii="Times New Roman" w:hAnsi="Times New Roman" w:eastAsia="仿宋" w:cs="Times New Roman"/>
                <w:kern w:val="0"/>
                <w:sz w:val="24"/>
                <w:color w:val="000000"/>
              </w:rPr>
              <w:t xml:space="preserve">一次乡村非遗体验需要讲解稿、活动安排、费用清单和游客手册。组织者面临的难点是：资料分散，地域工艺容易混淆；预算、偏好或素材条件一变，多份内容容易漏改并形成相互矛盾的承诺。乡艺有据把文化依据、接待条件与交付版本连接起来，帮助组织者交出有依据、可核算、可审核的体验方案。让非遗不止被看见，更能被体验。当前痛点是设计假设，需求强度仍待真实访谈验证。</w:t>
            </w:r>
          </w:p>
        </w:tc>
      </w:tr>
      <w:tr w14:paraId="5049E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71878284">
            <w:pPr>
              <w:widowControl/>
              <w:autoSpaceDN w:val="0"/>
              <w:jc w:val="center"/>
              <w:rPr>
                <w:rFonts w:ascii="Times New Roman" w:hAnsi="Times New Roman" w:eastAsia="仿宋" w:cs="Times New Roman"/>
                <w:kern w:val="0"/>
                <w:sz w:val="24"/>
              </w:rPr>
            </w:pPr>
          </w:p>
        </w:tc>
        <w:tc>
          <w:tcPr>
            <w:tcW w:w="8698" w:type="dxa"/>
            <w:gridSpan w:val="4"/>
            <w:shd w:val="clear" w:color="auto" w:fill="E7E6E6"/>
            <w:vAlign w:val="center"/>
          </w:tcPr>
          <w:p w14:paraId="2A572004"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  <w:keepNext/>
            </w:pP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（</w:t>
            </w:r>
            <w:r>
              <w:rPr>
                <w:rFonts w:ascii="Times New Roman" w:hAnsi="Times New Roman" w:eastAsia="仿宋" w:cs="Times New Roman"/>
                <w:b/>
                <w:kern w:val="0"/>
                <w:sz w:val="24"/>
              </w:rPr>
              <w:t>2</w:t>
            </w: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）立项思路</w:t>
            </w:r>
          </w:p>
        </w:tc>
      </w:tr>
      <w:tr w14:paraId="70FF8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6C61D152">
            <w:pPr>
              <w:widowControl/>
              <w:autoSpaceDN w:val="0"/>
              <w:jc w:val="center"/>
              <w:rPr>
                <w:rFonts w:ascii="Times New Roman" w:hAnsi="Times New Roman" w:eastAsia="仿宋" w:cs="Times New Roman"/>
                <w:kern w:val="0"/>
                <w:sz w:val="24"/>
              </w:rPr>
            </w:pPr>
          </w:p>
        </w:tc>
        <w:tc>
          <w:tcPr>
            <w:tcW w:w="8698" w:type="dxa"/>
            <w:gridSpan w:val="4"/>
          </w:tcPr>
          <w:p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</w:rPr>
            </w:pPr>
            <w:r>
              <w:rPr>
                <w:rFonts w:ascii="Times New Roman" w:hAnsi="Times New Roman" w:eastAsia="仿宋" w:cs="Times New Roman"/>
                <w:kern w:val="0"/>
                <w:sz w:val="24"/>
                <w:color w:val="000000"/>
              </w:rPr>
              <w:t xml:space="preserve">以同一场蔚县剪纸体验展示两项贡献：文化证据贯穿讲解、活动与交付，素材撤回后定位受影响内容并更新双版包；自然语言驱动受约束的活动重编排，“不要茶歇，多留手作时间”实际改变模块、时长与账目。模型理解需求并依据反馈修订，程序求解和复算，人确认文化与经营边界。金山区公开活动资料重建作为流程复用的补充证据，两个地域与数据性质分开。</w:t>
            </w:r>
          </w:p>
        </w:tc>
      </w:tr>
      <w:tr w14:paraId="2391A8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6E2ED5F1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8698" w:type="dxa"/>
            <w:gridSpan w:val="4"/>
            <w:shd w:val="clear" w:color="auto" w:fill="E7E6E6"/>
            <w:vAlign w:val="center"/>
          </w:tcPr>
          <w:p w14:paraId="75BBE221"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  <w:keepNext/>
            </w:pP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（</w:t>
            </w:r>
            <w:r>
              <w:rPr>
                <w:rFonts w:ascii="Times New Roman" w:hAnsi="Times New Roman" w:eastAsia="仿宋" w:cs="Times New Roman"/>
                <w:b/>
                <w:kern w:val="0"/>
                <w:sz w:val="24"/>
              </w:rPr>
              <w:t>3</w:t>
            </w: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）解决方案</w:t>
            </w:r>
          </w:p>
        </w:tc>
      </w:tr>
      <w:tr w14:paraId="2EAFA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04440148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8698" w:type="dxa"/>
            <w:gridSpan w:val="4"/>
          </w:tcPr>
          <w:p>
            <w:pPr>
              <w:widowControl/>
              <w:rPr>
                <w:rFonts w:ascii="Times New Roman" w:hAnsi="Times New Roman" w:eastAsia="仿宋" w:cs="Times New Roman"/>
                <w:sz w:val="24"/>
              </w:rPr>
            </w:pPr>
            <w:r>
              <w:rPr>
                <w:rFonts w:ascii="Times New Roman" w:hAnsi="Times New Roman" w:eastAsia="仿宋" w:cs="Times New Roman"/>
                <w:sz w:val="24"/>
                <w:color w:val="000000"/>
              </w:rPr>
              <w:t xml:space="preserve">系统保留乡土发现、可信内容工坊、体验与共益三页。原文按句段关联地域证据，文化事实、经营承诺与用户需求分别判断；核验区分支持、矛盾、资料分歧和信息不足。程序在八个同场地演示模块中组合，按人数、预算、总时长、教师、场地与明确偏好筛选排序，金额以整数分复算。短讲解、观察任务和互动提问只基于已核验事实及已选活动生成，教学创意明示并再查文化断言。人工确认绑定版本，导出游客版和组织者版；来源或素材状态变化使旧确认失效，重新核验后生成新包。真实主线中，取消茶歇并多留手作时间使手作50→80分钟、全程90→100分钟、组织支出720→796元，均为演示测算。金山补充案例保留公告30+90分钟安排，8人702元为团队组织支出演示测算，不能解释成历史免费活动收费。采用免费本地、免微调模型与现有工作流；真实教师、安全容量、成本与授权仍待接待方核实。</w:t>
            </w:r>
          </w:p>
        </w:tc>
      </w:tr>
      <w:tr w14:paraId="5C2291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0E7A6082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8698" w:type="dxa"/>
            <w:gridSpan w:val="4"/>
            <w:shd w:val="clear" w:color="auto" w:fill="E7E6E6"/>
            <w:vAlign w:val="center"/>
          </w:tcPr>
          <w:p w14:paraId="7F1FAEF0"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  <w:keepNext/>
            </w:pP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（</w:t>
            </w:r>
            <w:r>
              <w:rPr>
                <w:rFonts w:ascii="Times New Roman" w:hAnsi="Times New Roman" w:eastAsia="仿宋" w:cs="Times New Roman"/>
                <w:b/>
                <w:kern w:val="0"/>
                <w:sz w:val="24"/>
              </w:rPr>
              <w:t>4</w:t>
            </w: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）</w:t>
            </w:r>
            <w:r>
              <w:rPr>
                <w:rFonts w:hint="eastAsia" w:ascii="Times New Roman" w:hAnsi="Times New Roman" w:eastAsia="仿宋" w:cs="Times New Roman"/>
                <w:b/>
                <w:sz w:val="24"/>
              </w:rPr>
              <w:t>商业模式和预期效益</w:t>
            </w:r>
          </w:p>
        </w:tc>
      </w:tr>
      <w:tr w14:paraId="7855E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05E5D622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8698" w:type="dxa"/>
            <w:gridSpan w:val="4"/>
          </w:tcPr>
          <w:p>
            <w:pPr>
              <w:widowControl/>
              <w:rPr>
                <w:rFonts w:ascii="Times New Roman" w:hAnsi="Times New Roman" w:eastAsia="仿宋" w:cs="Times New Roman"/>
                <w:color w:val="595959"/>
                <w:sz w:val="24"/>
              </w:rPr>
            </w:pPr>
            <w:r>
              <w:rPr>
                <w:rFonts w:hint="eastAsia" w:ascii="Times New Roman" w:hAnsi="Times New Roman" w:eastAsia="仿宋" w:cs="Times New Roman"/>
                <w:sz w:val="24"/>
                <w:color w:val="000000"/>
              </w:rPr>
              <w:t xml:space="preserve">首批购买者拟为需要反复备课和改排的研学组织者、乡村工坊及文旅服务机构。项目方提供本地部署、资料与模块配置、培训及维护服务，以配置费和维护费形成软件服务收入；工坊方单列活动收入或资金来源、材料组织支出和本地服务报酬。文化依据、材料用量与容量门禁服务于传承和低影响接待。商业计划给出有明确假设的情景与敏感性计算，尚无订单、真实增收或减排成果。</w:t>
            </w:r>
          </w:p>
        </w:tc>
      </w:tr>
      <w:tr w14:paraId="50244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trHeight w:val="1140" w:hRule="atLeast"/>
          <w:jc w:val="center"/>
        </w:trPr>
        <w:tc>
          <w:tcPr>
            <w:tcW w:w="1792" w:type="dxa"/>
            <w:vMerge w:val="restart"/>
            <w:shd w:val="clear" w:color="auto" w:fill="E7E6E6"/>
            <w:vAlign w:val="center"/>
          </w:tcPr>
          <w:p w14:paraId="208F3AE5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作品技术</w:t>
            </w:r>
          </w:p>
          <w:p w14:paraId="5E9AB716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自评价</w:t>
            </w:r>
          </w:p>
        </w:tc>
        <w:tc>
          <w:tcPr>
            <w:tcW w:w="1464" w:type="dxa"/>
            <w:vAlign w:val="center"/>
          </w:tcPr>
          <w:p w14:paraId="2B6B5B04"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  <w:szCs w:val="18"/>
              </w:rPr>
              <w:t>作品所处</w:t>
            </w:r>
          </w:p>
          <w:p w14:paraId="091CD7F2">
            <w:pPr>
              <w:widowControl/>
              <w:rPr>
                <w:rFonts w:ascii="Times New Roman" w:hAnsi="Times New Roman" w:eastAsia="仿宋" w:cs="Times New Roman"/>
                <w:color w:val="595959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  <w:szCs w:val="18"/>
              </w:rPr>
              <w:t>研发阶段：</w:t>
            </w:r>
          </w:p>
        </w:tc>
        <w:tc>
          <w:tcPr>
            <w:tcW w:w="7234" w:type="dxa"/>
            <w:gridSpan w:val="3"/>
            <w:vAlign w:val="center"/>
          </w:tcPr>
          <w:p>
            <w:pPr>
              <w:widowControl/>
              <w:spacing w:before="81" w:after="81"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  <w:szCs w:val="18"/>
                <w:color w:val="000000"/>
              </w:rPr>
              <w:t xml:space="preserve">创意设计类；基础研究类；</w:t>
            </w:r>
          </w:p>
          <w:p>
            <w:pPr>
              <w:widowControl/>
              <w:spacing w:before="81" w:after="81"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  <w:szCs w:val="18"/>
                <w:color w:val="000000"/>
              </w:rPr>
              <w:t xml:space="preserve">软硬件开发类（选择）；工程实施类</w:t>
            </w:r>
          </w:p>
        </w:tc>
      </w:tr>
      <w:tr w14:paraId="23A8F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trHeight w:val="1140" w:hRule="atLeast"/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0D480484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1464" w:type="dxa"/>
            <w:vAlign w:val="center"/>
          </w:tcPr>
          <w:p w14:paraId="75620A7F">
            <w:pPr>
              <w:widowControl/>
              <w:rPr>
                <w:rFonts w:ascii="Times New Roman" w:hAnsi="Times New Roman" w:eastAsia="仿宋" w:cs="Times New Roman"/>
                <w:color w:val="595959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先进性：</w:t>
            </w:r>
          </w:p>
        </w:tc>
        <w:tc>
          <w:tcPr>
            <w:tcW w:w="7234" w:type="dxa"/>
            <w:gridSpan w:val="3"/>
            <w:vAlign w:val="center"/>
          </w:tcPr>
          <w:p>
            <w:pPr>
              <w:widowControl/>
              <w:spacing w:before="81" w:after="81"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国际领先；国际先进；国内领先；国内先进；国内一般；无法判断（选择，尚无充分对标证据）</w:t>
            </w:r>
          </w:p>
        </w:tc>
      </w:tr>
      <w:tr w14:paraId="771EF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trHeight w:val="1140" w:hRule="atLeast"/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4BB40A0B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1464" w:type="dxa"/>
            <w:vAlign w:val="center"/>
          </w:tcPr>
          <w:p w14:paraId="4DA94D54"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成果交付物类型（可多选）</w:t>
            </w:r>
          </w:p>
        </w:tc>
        <w:tc>
          <w:tcPr>
            <w:tcW w:w="7234" w:type="dxa"/>
            <w:gridSpan w:val="3"/>
            <w:vAlign w:val="center"/>
          </w:tcPr>
          <w:p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□硬件 ☑软件 □工艺 ☑方法 □服务 □商业模式</w:t>
            </w:r>
          </w:p>
          <w:p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□其他</w:t>
            </w:r>
          </w:p>
        </w:tc>
      </w:tr>
      <w:tr w14:paraId="3BCCB0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trHeight w:val="1140" w:hRule="atLeast"/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5215EE54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1464" w:type="dxa"/>
            <w:vAlign w:val="center"/>
          </w:tcPr>
          <w:p w14:paraId="559DBAC9"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技术成熟度（单选）：</w:t>
            </w:r>
          </w:p>
        </w:tc>
        <w:tc>
          <w:tcPr>
            <w:tcW w:w="7234" w:type="dxa"/>
            <w:gridSpan w:val="3"/>
            <w:vAlign w:val="center"/>
          </w:tcPr>
          <w:p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□第1级 □第2级 □第3级 □第4级</w:t>
            </w:r>
          </w:p>
          <w:p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□第5级 □第6级 □第7级 □第8级 □第9级</w:t>
            </w:r>
          </w:p>
          <w:p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待依据成熟度定义与实施证据核定，暂不选择。</w:t>
            </w:r>
          </w:p>
        </w:tc>
      </w:tr>
      <w:tr w14:paraId="75AE4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trHeight w:val="1140" w:hRule="atLeast"/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69E81CC6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1464" w:type="dxa"/>
            <w:vAlign w:val="center"/>
          </w:tcPr>
          <w:p w14:paraId="1651D406">
            <w:pPr>
              <w:widowControl/>
              <w:rPr>
                <w:rFonts w:ascii="Times New Roman" w:hAnsi="Times New Roman" w:eastAsia="仿宋" w:cs="Times New Roman"/>
                <w:color w:val="595959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国内外对比参照物（可多个参照物）：</w:t>
            </w:r>
          </w:p>
        </w:tc>
        <w:tc>
          <w:tcPr>
            <w:tcW w:w="7234" w:type="dxa"/>
            <w:gridSpan w:val="3"/>
            <w:vAlign w:val="center"/>
          </w:tcPr>
          <w:p>
            <w:pPr>
              <w:widowControl/>
              <w:spacing w:before="81" w:after="81"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同模型、同资料、同工具的固定流程（内部对照，非第三方产品）；结果见2026年10月3日小规模内部验收。其他国内外产品或技术的规范比较待补。</w:t>
            </w:r>
          </w:p>
        </w:tc>
      </w:tr>
      <w:tr w14:paraId="4DA05C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trHeight w:val="2854" w:hRule="atLeast"/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52D3CA02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1464" w:type="dxa"/>
            <w:vAlign w:val="center"/>
          </w:tcPr>
          <w:p w14:paraId="074E71CC"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关键指标</w:t>
            </w:r>
          </w:p>
          <w:p w14:paraId="22BB7561">
            <w:pPr>
              <w:widowControl/>
              <w:rPr>
                <w:rFonts w:ascii="Times New Roman" w:hAnsi="Times New Roman" w:eastAsia="仿宋" w:cs="Times New Roman"/>
                <w:color w:val="595959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提升情况：（</w:t>
            </w:r>
            <w:r>
              <w:rPr>
                <w:rFonts w:hint="eastAsia" w:ascii="Times New Roman" w:hAnsi="Times New Roman" w:eastAsia="仿宋" w:cs="仿宋"/>
                <w:b/>
                <w:bCs/>
                <w:kern w:val="0"/>
                <w:sz w:val="24"/>
                <w:szCs w:val="18"/>
              </w:rPr>
              <w:t>关键指标一般3-5项，具体数值需有相关试验报告、第三方检测报告等佐证材料支撑</w:t>
            </w: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）</w:t>
            </w:r>
          </w:p>
        </w:tc>
        <w:tc>
          <w:tcPr>
            <w:tcW w:w="7234" w:type="dxa"/>
            <w:gridSpan w:val="3"/>
            <w:vAlign w:val="center"/>
          </w:tcPr>
          <w:tbl>
            <w:tblPr>
              <w:tblStyle w:val="6"/>
              <w:tblpPr w:leftFromText="180" w:rightFromText="180" w:vertAnchor="text" w:horzAnchor="page" w:tblpXSpec="center" w:tblpY="396"/>
              <w:tblOverlap w:val="never"/>
              <w:tblW w:w="7018" w:type="dxa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511"/>
              <w:gridCol w:w="1170"/>
              <w:gridCol w:w="1124"/>
              <w:gridCol w:w="1095"/>
              <w:gridCol w:w="2118"/>
            </w:tblGrid>
            <w:tr w14:paraId="517BB7AC">
              <w:trPr>
                <w:trHeight w:val="418" w:hRule="atLeast"/>
              </w:trPr>
              <w:tc>
                <w:tcPr>
                  <w:tcW w:w="1076" w:type="pct"/>
                  <w:tcBorders>
                    <w:top w:val="single" w:color="000000" w:sz="4" w:space="0"/>
                    <w:left w:val="single" w:color="000000" w:sz="8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 w14:paraId="1E68AE64">
                  <w:pPr>
                    <w:widowControl/>
                    <w:spacing w:line="360" w:lineRule="auto"/>
                    <w:jc w:val="center"/>
                    <w:textAlignment w:val="center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rFonts w:hint="eastAsia" w:ascii="Times New Roman" w:hAnsi="Times New Roman" w:eastAsia="仿宋" w:cs="仿宋"/>
                      <w:color w:val="000000"/>
                      <w:lang w:bidi="ar"/>
                      <w14:ligatures w14:val="standardContextual"/>
                    </w:rPr>
                    <w:t xml:space="preserve"> </w:t>
                  </w:r>
                  <w:r>
                    <w:rPr>
                      <w:rFonts w:ascii="Times New Roman" w:hAnsi="Times New Roman" w:eastAsia="仿宋" w:cs="仿宋"/>
                      <w:color w:val="000000"/>
                      <w:szCs w:val="21"/>
                      <w:lang w:bidi="ar"/>
                      <w14:ligatures w14:val="standardContextual"/>
                    </w:rPr>
                    <w:t>指标名称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 w14:paraId="7E459E57">
                  <w:pPr>
                    <w:widowControl/>
                    <w:spacing w:line="360" w:lineRule="auto"/>
                    <w:jc w:val="center"/>
                    <w:textAlignment w:val="center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rFonts w:hint="eastAsia" w:ascii="Times New Roman" w:hAnsi="Times New Roman" w:eastAsia="仿宋" w:cs="仿宋"/>
                      <w:color w:val="000000"/>
                      <w:lang w:bidi="ar"/>
                      <w14:ligatures w14:val="standardContextual"/>
                    </w:rPr>
                    <w:t xml:space="preserve"> </w:t>
                  </w:r>
                  <w:r>
                    <w:rPr>
                      <w:rFonts w:ascii="Times New Roman" w:hAnsi="Times New Roman" w:eastAsia="仿宋" w:cs="仿宋"/>
                      <w:color w:val="000000"/>
                      <w:szCs w:val="21"/>
                      <w:lang w:bidi="ar"/>
                      <w14:ligatures w14:val="standardContextual"/>
                    </w:rPr>
                    <w:t>指标值</w:t>
                  </w:r>
                </w:p>
              </w:tc>
              <w:tc>
                <w:tcPr>
                  <w:tcW w:w="801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 w14:paraId="675C0D12">
                  <w:pPr>
                    <w:widowControl/>
                    <w:spacing w:line="360" w:lineRule="auto"/>
                    <w:jc w:val="center"/>
                    <w:textAlignment w:val="center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rFonts w:ascii="Times New Roman" w:hAnsi="Times New Roman" w:eastAsia="仿宋" w:cs="仿宋"/>
                      <w:color w:val="000000"/>
                      <w:szCs w:val="21"/>
                      <w:lang w:bidi="ar"/>
                      <w14:ligatures w14:val="standardContextual"/>
                    </w:rPr>
                    <w:t>参照值</w:t>
                  </w:r>
                </w:p>
              </w:tc>
              <w:tc>
                <w:tcPr>
                  <w:tcW w:w="780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 w14:paraId="7784E9BE">
                  <w:pPr>
                    <w:widowControl/>
                    <w:spacing w:line="360" w:lineRule="auto"/>
                    <w:jc w:val="center"/>
                    <w:textAlignment w:val="center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rFonts w:ascii="Times New Roman" w:hAnsi="Times New Roman" w:eastAsia="仿宋" w:cs="仿宋"/>
                      <w:color w:val="000000"/>
                      <w:szCs w:val="21"/>
                      <w:lang w:bidi="ar"/>
                      <w14:ligatures w14:val="standardContextual"/>
                    </w:rPr>
                    <w:t>提升度%</w:t>
                  </w:r>
                </w:p>
              </w:tc>
              <w:tc>
                <w:tcPr>
                  <w:tcW w:w="150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8" w:space="0"/>
                  </w:tcBorders>
                  <w:shd w:val="clear" w:color="auto" w:fill="auto"/>
                  <w:vAlign w:val="center"/>
                </w:tcPr>
                <w:p w14:paraId="3A37FC8E">
                  <w:pPr>
                    <w:widowControl/>
                    <w:spacing w:line="360" w:lineRule="auto"/>
                    <w:jc w:val="center"/>
                    <w:textAlignment w:val="center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rFonts w:ascii="Times New Roman" w:hAnsi="Times New Roman" w:eastAsia="仿宋" w:cs="仿宋"/>
                      <w:color w:val="000000"/>
                      <w:szCs w:val="21"/>
                      <w:lang w:bidi="ar"/>
                      <w14:ligatures w14:val="standardContextual"/>
                    </w:rPr>
                    <w:t>参照对象</w:t>
                  </w:r>
                </w:p>
              </w:tc>
            </w:tr>
            <w:tr w14:paraId="19C34688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5" w:hRule="atLeast"/>
              </w:trPr>
              <w:tc>
                <w:tcPr>
                  <w:tcW w:w="1076" w:type="pct"/>
                  <w:tcBorders>
                    <w:top w:val="single" w:color="000000" w:sz="4" w:space="0"/>
                    <w:left w:val="single" w:color="000000" w:sz="8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完整交付题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12/12</w:t>
                  </w:r>
                </w:p>
              </w:tc>
              <w:tc>
                <w:tcPr>
                  <w:tcW w:w="801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10/12</w:t>
                  </w:r>
                </w:p>
              </w:tc>
              <w:tc>
                <w:tcPr>
                  <w:tcW w:w="780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未计算</w:t>
                  </w:r>
                </w:p>
              </w:tc>
              <w:tc>
                <w:tcPr>
                  <w:tcW w:w="150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8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同条件固定流程</w:t>
                  </w:r>
                </w:p>
              </w:tc>
            </w:tr>
            <w:tr w14:paraId="51B52BA7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5" w:hRule="atLeast"/>
              </w:trPr>
              <w:tc>
                <w:tcPr>
                  <w:tcW w:w="1076" w:type="pct"/>
                  <w:tcBorders>
                    <w:top w:val="single" w:color="000000" w:sz="4" w:space="0"/>
                    <w:left w:val="single" w:color="000000" w:sz="8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必要确认题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6/6</w:t>
                  </w:r>
                </w:p>
              </w:tc>
              <w:tc>
                <w:tcPr>
                  <w:tcW w:w="801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5/6</w:t>
                  </w:r>
                </w:p>
              </w:tc>
              <w:tc>
                <w:tcPr>
                  <w:tcW w:w="780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未计算</w:t>
                  </w:r>
                </w:p>
              </w:tc>
              <w:tc>
                <w:tcPr>
                  <w:tcW w:w="150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8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同条件固定流程</w:t>
                  </w:r>
                </w:p>
              </w:tc>
            </w:tr>
            <w:tr w14:paraId="6CA6FAAB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5" w:hRule="atLeast"/>
              </w:trPr>
              <w:tc>
                <w:tcPr>
                  <w:tcW w:w="1076" w:type="pct"/>
                  <w:tcBorders>
                    <w:top w:val="single" w:color="000000" w:sz="4" w:space="0"/>
                    <w:left w:val="single" w:color="000000" w:sz="8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具体正确拒绝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5/6</w:t>
                  </w:r>
                </w:p>
              </w:tc>
              <w:tc>
                <w:tcPr>
                  <w:tcW w:w="801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3/6</w:t>
                  </w:r>
                </w:p>
              </w:tc>
              <w:tc>
                <w:tcPr>
                  <w:tcW w:w="780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未计算</w:t>
                  </w:r>
                </w:p>
              </w:tc>
              <w:tc>
                <w:tcPr>
                  <w:tcW w:w="150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8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同条件固定流程</w:t>
                  </w:r>
                </w:p>
              </w:tc>
            </w:tr>
            <w:tr w14:paraId="5EA4C8E1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5" w:hRule="atLeast"/>
              </w:trPr>
              <w:tc>
                <w:tcPr>
                  <w:tcW w:w="1076" w:type="pct"/>
                  <w:tcBorders>
                    <w:top w:val="single" w:color="000000" w:sz="4" w:space="0"/>
                    <w:left w:val="single" w:color="000000" w:sz="8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任务中位耗时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4.523秒</w:t>
                  </w:r>
                </w:p>
              </w:tc>
              <w:tc>
                <w:tcPr>
                  <w:tcW w:w="801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2.209秒</w:t>
                  </w:r>
                </w:p>
              </w:tc>
              <w:tc>
                <w:tcPr>
                  <w:tcW w:w="780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未降低</w:t>
                  </w:r>
                </w:p>
              </w:tc>
              <w:tc>
                <w:tcPr>
                  <w:tcW w:w="150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8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同机各24任务</w:t>
                  </w:r>
                </w:p>
              </w:tc>
            </w:tr>
            <w:tr w14:paraId="67A735D7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5" w:hRule="atLeast"/>
              </w:trPr>
              <w:tc>
                <w:tcPr>
                  <w:tcW w:w="1076" w:type="pct"/>
                  <w:tcBorders>
                    <w:top w:val="single" w:color="000000" w:sz="4" w:space="0"/>
                    <w:left w:val="single" w:color="000000" w:sz="8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模型调用总数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98次</w:t>
                  </w:r>
                </w:p>
              </w:tc>
              <w:tc>
                <w:tcPr>
                  <w:tcW w:w="801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78次</w:t>
                  </w:r>
                </w:p>
              </w:tc>
              <w:tc>
                <w:tcPr>
                  <w:tcW w:w="780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未降低</w:t>
                  </w:r>
                </w:p>
              </w:tc>
              <w:tc>
                <w:tcPr>
                  <w:tcW w:w="150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8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各24任务总计</w:t>
                  </w:r>
                </w:p>
              </w:tc>
            </w:tr>
          </w:tbl>
          <w:p w14:paraId="290D2574">
            <w:pPr>
              <w:widowControl/>
              <w:rPr>
                <w:rFonts w:ascii="Times New Roman" w:hAnsi="Times New Roman" w:eastAsia="仿宋" w:cs="Times New Roman"/>
                <w:color w:val="595959"/>
                <w:kern w:val="0"/>
                <w:sz w:val="24"/>
              </w:rPr>
            </w:pPr>
          </w:p>
        </w:tc>
      </w:tr>
      <w:tr w14:paraId="1BCD2D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trHeight w:val="1140" w:hRule="atLeast"/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71A2BBC4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1464" w:type="dxa"/>
            <w:vAlign w:val="center"/>
          </w:tcPr>
          <w:p w14:paraId="66A02A37">
            <w:pPr>
              <w:widowControl/>
              <w:rPr>
                <w:rFonts w:ascii="Times New Roman" w:hAnsi="Times New Roman" w:eastAsia="仿宋" w:cs="Times New Roman"/>
                <w:color w:val="595959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提升维度（可多选）：</w:t>
            </w:r>
          </w:p>
        </w:tc>
        <w:tc>
          <w:tcPr>
            <w:tcW w:w="7234" w:type="dxa"/>
            <w:gridSpan w:val="3"/>
            <w:vAlign w:val="center"/>
          </w:tcPr>
          <w:p>
            <w:pPr>
              <w:widowControl/>
              <w:spacing w:line="360" w:lineRule="auto"/>
              <w:rPr>
                <w:rFonts w:ascii="Times New Roman" w:hAnsi="Times New Roman" w:eastAsia="仿宋" w:cs="仿宋"/>
                <w:kern w:val="0"/>
                <w:sz w:val="24"/>
                <w:szCs w:val="18"/>
                <w:u w:val="single"/>
              </w:rPr>
            </w:pPr>
            <w:r>
              <w:rPr>
                <w:rFonts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新功能实现：可追溯核验、活动组合与双版包更新。</w:t>
            </w:r>
          </w:p>
          <w:p>
            <w:pPr>
              <w:widowControl/>
              <w:spacing w:line="360" w:lineRule="auto"/>
              <w:rPr>
                <w:rFonts w:ascii="Times New Roman" w:hAnsi="Times New Roman" w:eastAsia="仿宋" w:cs="仿宋"/>
                <w:kern w:val="0"/>
                <w:sz w:val="24"/>
                <w:szCs w:val="18"/>
                <w:u w:val="single"/>
              </w:rPr>
            </w:pPr>
            <w:r>
              <w:rPr>
                <w:rFonts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质量、成本、效率及交付周期的提升值待实测，不填推断百分比。</w:t>
            </w:r>
          </w:p>
        </w:tc>
      </w:tr>
    </w:tbl>
    <w:p w14:paraId="44058CED">
      <w:bookmarkStart w:id="8" w:name="_GoBack"/>
      <w:bookmarkEnd w:id="8"/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  <w:embedRegular r:id="rId1" w:fontKey="{7AF563C4-34D6-4E03-89B5-3674323779EC}"/>
  </w:font>
  <w:font w:name="Microsoft YaHei U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方正黑体_GBK">
    <w:altName w:val="微软雅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方正小标宋简体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2" w:fontKey="{9AABD739-417C-4C4C-A62C-829D6C4A6EBA}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  <w:embedRegular r:id="rId3" w:fontKey="{C835C360-9FBA-457D-AB94-D833C240D37B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288CFF">
    <w:pPr>
      <w:pStyle w:val="3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48FF558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0O3bcsAgAAV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PQa5aFrd5ZHqGj&#10;eN6ujgECtrpGUToleq3QbW1l+smI7fznvo16+hssHw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vQ7dtywCAABV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48FF558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saveSubset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165"/>
    <w:rsid w:val="00031165"/>
    <w:rsid w:val="0037319A"/>
    <w:rsid w:val="005123E3"/>
    <w:rsid w:val="005D78D3"/>
    <w:rsid w:val="005F7FC1"/>
    <w:rsid w:val="006022A5"/>
    <w:rsid w:val="006B55D6"/>
    <w:rsid w:val="00727B81"/>
    <w:rsid w:val="007E416A"/>
    <w:rsid w:val="00971413"/>
    <w:rsid w:val="00B40E5B"/>
    <w:rsid w:val="00C23A47"/>
    <w:rsid w:val="00EF0A52"/>
    <w:rsid w:val="00FA1DE6"/>
    <w:rsid w:val="035E7A16"/>
    <w:rsid w:val="06941DC6"/>
    <w:rsid w:val="19F6DA34"/>
    <w:rsid w:val="1C2838BF"/>
    <w:rsid w:val="1D485456"/>
    <w:rsid w:val="1F6B6AC0"/>
    <w:rsid w:val="1FFFE5BD"/>
    <w:rsid w:val="28CA642A"/>
    <w:rsid w:val="2BDF9E85"/>
    <w:rsid w:val="333FDE2C"/>
    <w:rsid w:val="3F67793C"/>
    <w:rsid w:val="42B0500A"/>
    <w:rsid w:val="4E7E31A0"/>
    <w:rsid w:val="56FBDE94"/>
    <w:rsid w:val="57F3806F"/>
    <w:rsid w:val="5BCF7AD3"/>
    <w:rsid w:val="5D6737D9"/>
    <w:rsid w:val="5F7104CA"/>
    <w:rsid w:val="5FF7D9B7"/>
    <w:rsid w:val="61302E91"/>
    <w:rsid w:val="65E81C09"/>
    <w:rsid w:val="68FE2FAA"/>
    <w:rsid w:val="6AEFC613"/>
    <w:rsid w:val="6C0543DC"/>
    <w:rsid w:val="6D7B6243"/>
    <w:rsid w:val="729F83BF"/>
    <w:rsid w:val="73AFC5D2"/>
    <w:rsid w:val="74EE481B"/>
    <w:rsid w:val="7BE7BF6D"/>
    <w:rsid w:val="7DEB5D9B"/>
    <w:rsid w:val="7EBF4FF9"/>
    <w:rsid w:val="7EF214DF"/>
    <w:rsid w:val="7F3FB076"/>
    <w:rsid w:val="7FA3E9E9"/>
    <w:rsid w:val="7FFC1E6F"/>
    <w:rsid w:val="95F7AE71"/>
    <w:rsid w:val="AFAFA80C"/>
    <w:rsid w:val="BEDDDA19"/>
    <w:rsid w:val="CD9D93A6"/>
    <w:rsid w:val="D2DFB62A"/>
    <w:rsid w:val="D7F3D222"/>
    <w:rsid w:val="D7FF1812"/>
    <w:rsid w:val="DBDD2C26"/>
    <w:rsid w:val="DDC75C74"/>
    <w:rsid w:val="E7DF63B9"/>
    <w:rsid w:val="EFFFCDC6"/>
    <w:rsid w:val="EFFFCFFB"/>
    <w:rsid w:val="F4FFBB93"/>
    <w:rsid w:val="F57B7FA2"/>
    <w:rsid w:val="F9A4F9A6"/>
    <w:rsid w:val="FBA7009F"/>
    <w:rsid w:val="FBDF64D5"/>
    <w:rsid w:val="FBEF3ABD"/>
    <w:rsid w:val="FDEECDC1"/>
    <w:rsid w:val="FDF4B82A"/>
    <w:rsid w:val="FDF7CF12"/>
    <w:rsid w:val="FEFE7C39"/>
    <w:rsid w:val="FF5F2A4D"/>
    <w:rsid w:val="FFE73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0"/>
    <w:pPr>
      <w:spacing w:line="360" w:lineRule="auto"/>
      <w:ind w:firstLine="200" w:firstLineChars="200"/>
    </w:pPr>
    <w:rPr>
      <w:rFonts w:ascii="仿宋" w:hAnsi="Calibri" w:eastAsia="仿宋" w:cs="Times New Roman"/>
      <w:sz w:val="30"/>
      <w:szCs w:val="30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5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7">
    <w:name w:val="Table Grid"/>
    <w:basedOn w:val="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9">
    <w:name w:val="Hyperlink"/>
    <w:basedOn w:val="8"/>
    <w:qFormat/>
    <w:uiPriority w:val="0"/>
    <w:rPr>
      <w:color w:val="0000FF"/>
      <w:u w:val="single"/>
    </w:rPr>
  </w:style>
  <w:style w:type="character" w:customStyle="1" w:styleId="10">
    <w:name w:val="10"/>
    <w:basedOn w:val="8"/>
    <w:qFormat/>
    <w:uiPriority w:val="0"/>
    <w:rPr>
      <w:rFonts w:hint="default" w:ascii="Times New Roman" w:hAnsi="Times New Roman" w:cs="Times New Roman"/>
    </w:rPr>
  </w:style>
  <w:style w:type="character" w:customStyle="1" w:styleId="11">
    <w:name w:val="15"/>
    <w:basedOn w:val="8"/>
    <w:qFormat/>
    <w:uiPriority w:val="0"/>
    <w:rPr>
      <w:rFonts w:hint="default" w:ascii="Times New Roman" w:hAnsi="Times New Roman" w:cs="Times New Roman"/>
      <w:b/>
    </w:rPr>
  </w:style>
  <w:style w:type="paragraph" w:customStyle="1" w:styleId="12">
    <w:name w:val="指南标题3"/>
    <w:qFormat/>
    <w:uiPriority w:val="0"/>
    <w:pPr>
      <w:keepNext/>
      <w:keepLines/>
      <w:widowControl w:val="0"/>
      <w:spacing w:line="360" w:lineRule="auto"/>
      <w:outlineLvl w:val="2"/>
    </w:pPr>
    <w:rPr>
      <w:rFonts w:ascii="仿宋" w:hAnsi="宋体" w:eastAsia="仿宋" w:cs="Times New Roman"/>
      <w:b/>
      <w:color w:val="000000"/>
      <w:kern w:val="2"/>
      <w:sz w:val="32"/>
      <w:szCs w:val="32"/>
      <w:lang w:val="en-US" w:eastAsia="zh-CN" w:bidi="ar-SA"/>
    </w:rPr>
  </w:style>
  <w:style w:type="paragraph" w:customStyle="1" w:styleId="13">
    <w:name w:val="Table Text"/>
    <w:basedOn w:val="1"/>
    <w:hidden/>
    <w:qFormat/>
    <w:uiPriority w:val="0"/>
    <w:pPr>
      <w:spacing w:before="127" w:line="360" w:lineRule="auto"/>
      <w:jc w:val="center"/>
    </w:pPr>
    <w:rPr>
      <w:rFonts w:ascii="仿宋" w:hAnsi="仿宋" w:eastAsia="仿宋" w:cs="Times New Roman"/>
      <w:sz w:val="28"/>
      <w:szCs w:val="28"/>
    </w:rPr>
  </w:style>
  <w:style w:type="paragraph" w:customStyle="1" w:styleId="14">
    <w:name w:val="指南标题2"/>
    <w:qFormat/>
    <w:uiPriority w:val="0"/>
    <w:pPr>
      <w:keepNext/>
      <w:keepLines/>
      <w:widowControl w:val="0"/>
      <w:spacing w:line="360" w:lineRule="auto"/>
      <w:outlineLvl w:val="1"/>
    </w:pPr>
    <w:rPr>
      <w:rFonts w:ascii="黑体" w:hAnsi="Microsoft YaHei UI" w:eastAsia="黑体" w:cs="Times New Roman"/>
      <w:b/>
      <w:color w:val="000000"/>
      <w:kern w:val="2"/>
      <w:sz w:val="32"/>
      <w:szCs w:val="32"/>
      <w:lang w:val="en-US" w:eastAsia="zh-CN" w:bidi="ar-SA"/>
    </w:rPr>
  </w:style>
  <w:style w:type="character" w:customStyle="1" w:styleId="15">
    <w:name w:val="17"/>
    <w:basedOn w:val="8"/>
    <w:qFormat/>
    <w:uiPriority w:val="0"/>
    <w:rPr>
      <w:rFonts w:hint="default" w:ascii="方正黑体_GBK" w:hAnsi="方正黑体_GBK" w:eastAsia="方正黑体_GBK" w:cs="方正黑体_GBK"/>
      <w:color w:val="FF0000"/>
      <w:sz w:val="24"/>
      <w:szCs w:val="24"/>
    </w:rPr>
  </w:style>
  <w:style w:type="character" w:customStyle="1" w:styleId="16">
    <w:name w:val="18"/>
    <w:basedOn w:val="8"/>
    <w:qFormat/>
    <w:uiPriority w:val="0"/>
    <w:rPr>
      <w:rFonts w:hint="eastAsia" w:ascii="宋体" w:hAnsi="宋体" w:eastAsia="宋体" w:cs="宋体"/>
      <w:color w:val="0070C0"/>
      <w:sz w:val="22"/>
      <w:szCs w:val="22"/>
    </w:rPr>
  </w:style>
  <w:style w:type="character" w:customStyle="1" w:styleId="17">
    <w:name w:val="16"/>
    <w:basedOn w:val="8"/>
    <w:qFormat/>
    <w:uiPriority w:val="0"/>
    <w:rPr>
      <w:rFonts w:hint="default" w:ascii="Times New Roman" w:hAnsi="Times New Roman" w:cs="Times New Roman"/>
      <w:color w:val="800080"/>
      <w:u w:val="single"/>
    </w:rPr>
  </w:style>
  <w:style w:type="paragraph" w:customStyle="1" w:styleId="18">
    <w:name w:val="正文-公1"/>
    <w:basedOn w:val="1"/>
    <w:qFormat/>
    <w:uiPriority w:val="0"/>
    <w:pPr>
      <w:spacing w:line="360" w:lineRule="auto"/>
      <w:ind w:firstLine="200" w:firstLineChars="200"/>
    </w:pPr>
    <w:rPr>
      <w:rFonts w:ascii="仿宋" w:hAnsi="Calibri" w:eastAsia="仿宋" w:cs="Times New Roman"/>
      <w:sz w:val="32"/>
      <w:szCs w:val="32"/>
    </w:rPr>
  </w:style>
  <w:style w:type="paragraph" w:customStyle="1" w:styleId="19">
    <w:name w:val="指南标题1"/>
    <w:qFormat/>
    <w:uiPriority w:val="0"/>
    <w:pPr>
      <w:keepNext/>
      <w:keepLines/>
      <w:widowControl w:val="0"/>
      <w:spacing w:after="120" w:line="360" w:lineRule="auto"/>
      <w:jc w:val="center"/>
      <w:outlineLvl w:val="0"/>
    </w:pPr>
    <w:rPr>
      <w:rFonts w:ascii="方正小标宋简体" w:hAnsi="Microsoft YaHei UI" w:eastAsia="方正小标宋简体" w:cs="Times New Roman"/>
      <w:b/>
      <w:color w:val="000000"/>
      <w:kern w:val="44"/>
      <w:sz w:val="36"/>
      <w:szCs w:val="36"/>
      <w:lang w:val="en-US" w:eastAsia="zh-CN" w:bidi="ar-SA"/>
    </w:rPr>
  </w:style>
  <w:style w:type="paragraph" w:customStyle="1" w:styleId="20">
    <w:name w:val="指南标题"/>
    <w:basedOn w:val="1"/>
    <w:qFormat/>
    <w:uiPriority w:val="0"/>
    <w:pPr>
      <w:spacing w:line="360" w:lineRule="auto"/>
      <w:ind w:left="1433" w:hanging="1433" w:hangingChars="398"/>
      <w:jc w:val="center"/>
    </w:pPr>
    <w:rPr>
      <w:rFonts w:ascii="方正小标宋简体" w:hAnsi="微软雅黑" w:eastAsia="方正小标宋简体" w:cs="Times New Roman"/>
      <w:sz w:val="36"/>
      <w:szCs w:val="36"/>
    </w:rPr>
  </w:style>
  <w:style w:type="table" w:customStyle="1" w:styleId="21">
    <w:name w:val="Table Normal1"/>
    <w:basedOn w:val="6"/>
    <w:qFormat/>
    <w:uiPriority w:val="0"/>
    <w:tblPr>
      <w:tblCellMar>
        <w:left w:w="0" w:type="dxa"/>
        <w:right w:w="0" w:type="dxa"/>
      </w:tblCellMar>
    </w:tblPr>
  </w:style>
  <w:style w:type="character" w:customStyle="1" w:styleId="22">
    <w:name w:val="font61"/>
    <w:basedOn w:val="8"/>
    <w:autoRedefine/>
    <w:qFormat/>
    <w:uiPriority w:val="0"/>
    <w:rPr>
      <w:rFonts w:hint="default" w:ascii="方正黑体_GBK" w:hAnsi="方正黑体_GBK" w:eastAsia="方正黑体_GBK" w:cs="方正黑体_GBK"/>
      <w:color w:val="FF0000"/>
      <w:sz w:val="24"/>
      <w:szCs w:val="24"/>
      <w:u w:val="none"/>
    </w:rPr>
  </w:style>
  <w:style w:type="character" w:customStyle="1" w:styleId="23">
    <w:name w:val="font31"/>
    <w:basedOn w:val="8"/>
    <w:autoRedefine/>
    <w:qFormat/>
    <w:uiPriority w:val="0"/>
    <w:rPr>
      <w:rFonts w:hint="eastAsia" w:ascii="宋体" w:hAnsi="宋体" w:eastAsia="宋体" w:cs="宋体"/>
      <w:color w:val="0070C0"/>
      <w:sz w:val="22"/>
      <w:szCs w:val="22"/>
      <w:u w:val="none"/>
    </w:rPr>
  </w:style>
  <w:style w:type="paragraph" w:customStyle="1" w:styleId="24">
    <w:name w:val="Revision"/>
    <w:hidden/>
    <w:unhideWhenUsed/>
    <w:qFormat/>
    <w:uiPriority w:val="99"/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942</Words>
  <Characters>997</Characters>
  <Lines>11</Lines>
  <Paragraphs>3</Paragraphs>
  <TotalTime>0</TotalTime>
  <ScaleCrop>false</ScaleCrop>
  <LinksUpToDate>false</LinksUpToDate>
  <CharactersWithSpaces>1441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2025-06-04T12:42:00Z</dcterms:created>
  <dc:creator/>
  <cp:lastModifiedBy/>
  <dcterms:modified xsi:type="dcterms:W3CDTF">2026-06-26T10:41:35Z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eyJoZGlkIjoiMjBmMzg2ZmFkMDc5YmExYmZmYjEyYjAyOWU2M2ViOWYiLCJ1c2VySWQiOiIxNDc1MjUxMTM2In0=</vt:lpwstr>
  </property>
  <property fmtid="{D5CDD505-2E9C-101B-9397-08002B2CF9AE}" pid="4" name="ICV">
    <vt:lpwstr>52254B7D4BEC44C7AC8CB2B97703B85B_13</vt:lpwstr>
  </property>
</Properties>
</file>