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1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4C609DEA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2" w:name="_Toc108088507"/>
      <w:bookmarkStart w:id="3" w:name="_Toc7210846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</w:t>
      </w:r>
      <w:bookmarkEnd w:id="0"/>
      <w:bookmarkEnd w:id="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项目简表</w:t>
      </w:r>
      <w:bookmarkEnd w:id="2"/>
      <w:bookmarkEnd w:id="3"/>
    </w:p>
    <w:p w14:paraId="5CA8D785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  <w:color w:val="000000"/>
        </w:rPr>
        <w:t xml:space="preserve"/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作品名称</w:t>
            </w: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color w:val="000000"/>
              </w:rPr>
              <w:t xml:space="preserve">乡艺有据——可信非遗体验编排智能体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团队名称</w:t>
            </w: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color w:val="000000"/>
              </w:rPr>
              <w:t xml:space="preserve">【待填：团队名称，不含学校与导师信息】</w:t>
            </w: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参赛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eastAsia="zh-Hans"/>
              </w:rPr>
              <w:t>赛道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/</w:t>
            </w:r>
          </w:p>
          <w:p w14:paraId="781AD66F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 w14:paraId="4FAF87E1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.定向赛道-低空经济与空天科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2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.定向赛道-智慧交通与数字孪生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</w:t>
            </w:r>
          </w:p>
          <w:p w14:paraId="66DE1D95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3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.定向赛道-智能建造与城市更新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4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.定向赛道-未来城市与太空人居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</w:t>
            </w:r>
          </w:p>
          <w:p w14:paraId="605D67D5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32"/>
                <w:szCs w:val="21"/>
              </w:rPr>
            </w:pPr>
            <w:bookmarkStart w:id="4" w:name="OLE_LINK1"/>
            <w:bookmarkEnd w:id="4"/>
            <w:r>
              <w:rPr>
                <w:rFonts w:ascii="Times New Roman" w:hAnsi="Times New Roman" w:eastAsia="仿宋" w:cs="Times New Roman"/>
                <w:kern w:val="0"/>
                <w:sz w:val="24"/>
                <w:szCs w:val="18"/>
                <w:color w:val="000000"/>
              </w:rPr>
              <w:t xml:space="preserve">5.定向赛道-智慧文旅与乡村振兴 ■    6.定向赛道-智慧能源与环境         □  </w:t>
            </w:r>
          </w:p>
          <w:p w14:paraId="054581E6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7.</w:t>
            </w:r>
            <w:bookmarkStart w:id="5" w:name="OLE_LINK2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bookmarkEnd w:id="5"/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韧性城市与智慧应急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8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AI与具身智能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 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3690E679">
            <w:pPr>
              <w:widowControl/>
              <w:jc w:val="distribute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9.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智慧生活与大健康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bookmarkStart w:id="6" w:name="OLE_LINK7"/>
            <w:bookmarkStart w:id="7" w:name="OLE_LINK6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  <w:bookmarkEnd w:id="6"/>
            <w:bookmarkEnd w:id="7"/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10.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城市运维与安全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7CECD00F">
            <w:pPr>
              <w:widowControl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11.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智能材料与绿色建造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</w:p>
          <w:p w14:paraId="15C10EC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.自由赛道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62D0BAA6">
            <w:pPr>
              <w:widowControl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3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企业揭榜赛道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784F9023">
            <w:pPr>
              <w:widowControl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14.地方特色赛道  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队长姓名</w:t>
            </w:r>
          </w:p>
        </w:tc>
        <w:tc>
          <w:tcPr>
            <w:tcW w:w="3034" w:type="dxa"/>
            <w:gridSpan w:val="2"/>
          </w:tcPr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color w:val="000000"/>
              </w:rPr>
              <w:t xml:space="preserve">【待填】</w:t>
            </w:r>
          </w:p>
        </w:tc>
        <w:tc>
          <w:tcPr>
            <w:tcW w:w="1842" w:type="dxa"/>
            <w:shd w:val="clear" w:color="auto" w:fill="E7E6E6"/>
          </w:tcPr>
          <w:p w14:paraId="4622BAB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队长联系电话</w:t>
            </w:r>
          </w:p>
        </w:tc>
        <w:tc>
          <w:tcPr>
            <w:tcW w:w="3822" w:type="dxa"/>
          </w:tcPr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color w:val="000000"/>
              </w:rPr>
              <w:t xml:space="preserve">【待填】</w:t>
            </w: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团队成员</w:t>
            </w: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color w:val="000000"/>
              </w:rPr>
              <w:t xml:space="preserve">【待填】</w:t>
            </w: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报告内容</w:t>
            </w:r>
          </w:p>
          <w:p w14:paraId="252E61E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BF3C018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1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）项目背景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color w:val="000000"/>
              </w:rPr>
              <w:t xml:space="preserve">非遗体验正在成为乡村文旅的重要抓手。我们访谈的文旅办负责人所在地区，每年举办非遗活动十余场到近二十场，全区上百场。三位受访从业者都提到，讲解词多凭传承人经验口述，既无成稿，也无核对；文旅办负责人还指出，同一项非遗面对学生、老人和普通游客，活动要有针对性地调整；手艺人不会收回作品，而是不断推出新作，讲解和手册需要随之更新。与此同时，越来越多的人先从网上和AI那里认识一个地方，但通用AI的回答往往不标出处、难以核对。丰宁剪纸以阳刻为主，蔚县剪纸以阴刻为主，一字之差就是两地手艺。活动举办方真正需要的是：讲得对、因人而讲、手册常新。</w:t>
            </w: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A57200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2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）立项思路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color w:val="000000"/>
              </w:rPr>
              <w:t xml:space="preserve">核心思路是“模型理解、程序把关、人来拍板”。本地大模型负责读懂需求、拆分陈述、起草讲解；确定性程序负责逐句对照官方原文、在约束下组合活动并复算每一分钱；人工确认后才交付，资料或作品一变，旧手册即暂停使用。“可信”由此成为可检查的规则：每句讲解都标出原文与位置，查不到的标“信息不足”，系统不替人答应。产品围绕“讲对、因人而讲、作品常新”三件事展开。已有基础：系统完整可运行，收录中国非物质文化遗产网等官方资料，配置5类体验对象、8个活动模块；已在本地真实模型上完成端到端验收，并按三位从业者的访谈意见完成改版。</w:t>
            </w: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5BBE221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3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）解决方案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  <w:color w:val="000000"/>
              </w:rPr>
              <w:t xml:space="preserve">技术路线：官方资料库→本地智能体工作流（单任务最多8次模型调用）→人工确认→游客版与组织者版双版手册。</w:t>
            </w:r>
          </w:p>
          <w:p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  <w:color w:val="000000"/>
              </w:rPr>
              <w:t xml:space="preserve">一、讲对。文案按句拆分，逐句检索同地域官方来源，判为支持、矛盾、资料分歧或信息不足；矛盾句给出带出处的最小修订，营业、预约等经营承诺不由文化资料背书。真实运行中，“蔚县剪纸以阳刻为主”被判为与来源矛盾，修订为“以阴刻为主”并附原文；“每天开放、无需预约”判为信息不足，留给接待方确认。没有讲解词时，只需选“讲给谁、讲多久”，模型仅依据收录资料起草，再走同一套核验。</w:t>
            </w:r>
          </w:p>
          <w:p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  <w:color w:val="000000"/>
              </w:rPr>
              <w:t xml:space="preserve">二、因人而讲。支持普通游客、亲子家庭、青少年学生、老年人、专业爱好者5类对象。程序在人数、预算、时长、教师和场地约束下组合活动模块，金额按整数分复算；讲解口吻随对象调整，生成后再逐项检查文化断言。同一场蔚县剪纸换成中学生：活动由2个环节增至4个，手作由50分钟增至80分钟，874元中584元付给本地讲解和手作老师（演示测算）。</w:t>
            </w:r>
          </w:p>
          <w:p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  <w:color w:val="000000"/>
              </w:rPr>
              <w:t xml:space="preserve">三、作品常新。手艺人发布新作后，系统自动定位引用旧版的讲解卡与手册，旧版暂停导出，重新核验、经人确认后换上新作；游客手册设“手艺人作品”栏，购买由手艺人现场办理，系统不经手资金。</w:t>
            </w:r>
          </w:p>
          <w:p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sz w:val="24"/>
                <w:color w:val="000000"/>
              </w:rPr>
              <w:t xml:space="preserve">创新点：逐句证据门禁、受约束可复算编排、作品与手册版本联动。全程在一台电脑上离线运行，采用免费开源模型Qwen3-14B，无需微调，无模型调用费。</w:t>
            </w: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F1FAEF0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keepNext/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4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</w:t>
            </w:r>
            <w:r>
              <w:rPr>
                <w:rFonts w:hint="eastAsia" w:ascii="Times New Roman" w:hAnsi="Times New Roman" w:eastAsia="仿宋" w:cs="Times New Roman"/>
                <w:b/>
                <w:sz w:val="24"/>
              </w:rPr>
              <w:t>商业模式和预期效益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>
            <w:pPr>
              <w:widowControl/>
              <w:rPr>
                <w:rFonts w:ascii="Times New Roman" w:hAnsi="Times New Roman" w:eastAsia="仿宋" w:cs="Times New Roman"/>
                <w:color w:val="595959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color w:val="000000"/>
              </w:rPr>
              <w:t xml:space="preserve">商业模式为按场次收费的“活动编排与手册服务”，付费方是活动举办方和手艺人。首批面向县域文旅部门、研学机构和非遗工坊：举办方每场获得经核验的讲解词、按体验对象编排的方案与账目，以及游客版、组织者版手册；手艺人获得有出处的讲解词和随新作更新的作品展示，交易由手艺人自理。系统一次部署、离线运行、无模型调用费，场次越多，单场成本越低。受访地区每年非遗活动从十余场到上百场，需求高频复现，可由一县一项复制到更多地域和项目。预期效益：文化上讲得准、传得下去；经济上报酬逐项列示，收益留在乡里；社会上让学生、老人等不同人群都有针对性的体验。</w:t>
            </w: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作品技术</w:t>
            </w:r>
          </w:p>
          <w:p w14:paraId="5E9AB71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B6B5B0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t>作品所处</w:t>
            </w:r>
          </w:p>
          <w:p w14:paraId="091CD7F2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  <w:color w:val="000000"/>
              </w:rPr>
              <w:t xml:space="preserve">创意设计类；基础研究类；</w:t>
            </w:r>
          </w:p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  <w:color w:val="000000"/>
              </w:rPr>
              <w:t xml:space="preserve">■软硬件开发类；工程实施类</w:t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75620A7F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国际领先；国际先进；国内领先；■国内先进</w:t>
            </w:r>
          </w:p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国内一般；无法判断</w:t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4DA94D54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□硬件 ■软件 □工艺 ■方法 ■服务 □商业模式</w:t>
            </w:r>
          </w:p>
          <w:p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□其他</w:t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59DBAC9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□第1级 □第2级 □第3级 □第4级</w:t>
            </w:r>
          </w:p>
          <w:p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■第5级 □第6级 □第7级 □第8级</w:t>
            </w:r>
          </w:p>
          <w:p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□第9级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1651D406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■国际产品/技术/标准；■国内产品/技术/标准；</w:t>
            </w:r>
          </w:p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如有给出具体对标产品名称：通用对话大模型（ChatGPT、文心一言）；Google NotebookLM；Dify知识库；同模型固定流程（内部对照）</w:t>
            </w:r>
          </w:p>
          <w:p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无对比参照物</w:t>
            </w: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854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74E71CC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关键指标</w:t>
            </w:r>
          </w:p>
          <w:p w14:paraId="22BB7561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提升情况：（</w:t>
            </w:r>
            <w:r>
              <w:rPr>
                <w:rFonts w:hint="eastAsia" w:ascii="Times New Roman" w:hAnsi="Times New Roman" w:eastAsia="仿宋" w:cs="仿宋"/>
                <w:b/>
                <w:bCs/>
                <w:kern w:val="0"/>
                <w:sz w:val="24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val="418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E68AE64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459E57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5C0D12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784E9B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3A37FC8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完整交付正确率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12/12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10/12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20.0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同模型固定流程（内部24任务）</w:t>
                  </w: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需确认条件识别率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6/6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5/6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20.0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同模型固定流程（内部24任务）</w:t>
                  </w: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越界请求具体拒绝率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5/6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3/6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66.7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同模型固定流程（内部24任务）</w:t>
                  </w:r>
                </w:p>
              </w:tc>
            </w:tr>
            <w:tr w14:paraId="5EA4C8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讲解陈述出处可追溯率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100%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无逐句核对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新增能力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受访从业者现行做法</w:t>
                  </w:r>
                </w:p>
              </w:tc>
            </w:tr>
            <w:tr w14:paraId="67A735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单场模型调用费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0元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按调用计费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100（降低）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color w:val="000000"/>
                    </w:rPr>
                    <w:t xml:space="preserve">云端大模型API</w:t>
                  </w:r>
                </w:p>
              </w:tc>
            </w:tr>
          </w:tbl>
          <w:p w14:paraId="290D2574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6A02A37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■质量提升；■成本降低；效率提升；</w:t>
            </w:r>
          </w:p>
          <w:p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生产/交付周期缩短：</w:t>
            </w:r>
          </w:p>
          <w:p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  <w:color w:val="000000"/>
              </w:rPr>
              <w:t xml:space="preserve">■新功能实现：逐句出处核验、因人一键重排、作品联动手册</w:t>
            </w:r>
          </w:p>
        </w:tc>
      </w:tr>
    </w:tbl>
    <w:p w14:paraId="44058CED">
      <w:bookmarkStart w:id="8" w:name="_GoBack"/>
      <w:bookmarkEnd w:id="8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7AF563C4-34D6-4E03-89B5-3674323779EC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9AABD739-417C-4C4C-A62C-829D6C4A6EBA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3" w:fontKey="{C835C360-9FBA-457D-AB94-D833C240D3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52254B7D4BEC44C7AC8CB2B97703B85B_13</vt:lpwstr>
  </property>
</Properties>
</file>