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8A7B68"/>
          <w:spacing w:val="80"/>
          <w:sz w:val="18"/>
          <w:szCs w:val="18"/>
        </w:rPr>
        <w:t xml:space="preserve">W R E N   ·   B R A N D   S Y S T E M</w:t>
      </w:r>
    </w:p>
    <w:p>
      <w:pPr>
        <w:spacing w:after="200"/>
        <w:jc w:val="center"/>
      </w:pPr>
      <w:r>
        <w:rPr>
          <w:rFonts w:ascii="Arial" w:cs="Arial" w:eastAsia="Arial" w:hAnsi="Arial"/>
          <w:b/>
          <w:bCs/>
          <w:color w:val="3B2F22"/>
          <w:spacing w:val="-40"/>
          <w:sz w:val="220"/>
          <w:szCs w:val="220"/>
        </w:rPr>
        <w:t xml:space="preserve">wren</w:t>
      </w:r>
    </w:p>
    <w:p>
      <w:pPr>
        <w:spacing w:after="200"/>
        <w:jc w:val="center"/>
      </w:pPr>
      <w:r>
        <w:rPr>
          <w:rFonts w:ascii="Arial" w:cs="Arial" w:eastAsia="Arial" w:hAnsi="Arial"/>
          <w:color w:val="6B5641"/>
          <w:spacing w:val="100"/>
          <w:sz w:val="22"/>
          <w:szCs w:val="22"/>
        </w:rPr>
        <w:t xml:space="preserve">A   S O F T E R   S C I E N C E</w:t>
      </w:r>
    </w:p>
    <w:p>
      <w:pPr>
        <w:spacing w:before="720"/>
        <w:jc w:val="center"/>
      </w:pPr>
      <w:r>
        <w:rPr>
          <w:rFonts w:ascii="Arial" w:cs="Arial" w:eastAsia="Arial" w:hAnsi="Arial"/>
          <w:color w:val="8A7B68"/>
          <w:sz w:val="20"/>
          <w:szCs w:val="20"/>
        </w:rPr>
        <w:t xml:space="preserve">Direction 01 · Vanilla. Version 1.2 · May 2026.</w:t>
      </w:r>
    </w:p>
    <w:p>
      <w:r>
        <w:br w:type="page"/>
      </w:r>
    </w:p>
    <w:p>
      <w:pPr>
        <w:pStyle w:val="Heading1"/>
        <w:spacing w:after="160" w:before="320"/>
      </w:pPr>
      <w:r>
        <w:rPr>
          <w:rFonts w:ascii="Arial" w:cs="Arial" w:eastAsia="Arial" w:hAnsi="Arial"/>
          <w:b/>
          <w:bCs/>
          <w:color w:val="3B2F22"/>
          <w:spacing w:val="-20"/>
          <w:sz w:val="44"/>
          <w:szCs w:val="44"/>
        </w:rPr>
        <w:t xml:space="preserve">01.  The feeling</w:t>
      </w:r>
    </w:p>
    <w:p>
      <w:pPr>
        <w:pBdr>
          <w:bottom w:val="single" w:color="C8A989" w:sz="4" w:space="1"/>
        </w:pBdr>
        <w:spacing w:after="200" w:before="60"/>
      </w:pPr>
    </w:p>
    <w:p>
      <w:pPr>
        <w:spacing w:after="180"/>
      </w:pPr>
      <w:r>
        <w:rPr>
          <w:rFonts w:ascii="Arial" w:cs="Arial" w:eastAsia="Arial" w:hAnsi="Arial"/>
          <w:b/>
          <w:bCs/>
          <w:color w:val="3B2F22"/>
          <w:spacing w:val="-15"/>
          <w:sz w:val="36"/>
          <w:szCs w:val="36"/>
        </w:rPr>
        <w:t xml:space="preserve">A best friend who happens to have a medical degree.</w:t>
      </w:r>
    </w:p>
    <w:p>
      <w:pPr>
        <w:spacing w:after="120"/>
      </w:pPr>
      <w:r>
        <w:rPr>
          <w:rFonts w:ascii="Arial" w:cs="Arial" w:eastAsia="Arial" w:hAnsi="Arial"/>
          <w:color w:val="3B2F22"/>
          <w:sz w:val="22"/>
          <w:szCs w:val="22"/>
        </w:rPr>
        <w:t xml:space="preserve">Wren is a women’s health and coach app for the body, fluently. It tracks cycle, sleep, energy, mood, and nutrition, and pairs the data with a Coach that speaks in full sentences — not pop-ups, not push notifications, not streaks.</w:t>
      </w:r>
    </w:p>
    <w:p>
      <w:pPr>
        <w:spacing w:after="120"/>
      </w:pPr>
      <w:r>
        <w:rPr>
          <w:rFonts w:ascii="Arial" w:cs="Arial" w:eastAsia="Arial" w:hAnsi="Arial"/>
          <w:color w:val="3B2F22"/>
          <w:sz w:val="22"/>
          <w:szCs w:val="22"/>
        </w:rPr>
        <w:t xml:space="preserve">Where MyFitnessPal weaponizes calories and Whoop weaponizes recovery scores, Wren is calm. It treats the body as a rhythm to listen to, not a problem to optimize. It signals safety, not surveillance.</w:t>
      </w:r>
    </w:p>
    <w:p>
      <w:pPr>
        <w:spacing w:after="120"/>
      </w:pPr>
      <w:r>
        <w:rPr>
          <w:rFonts w:ascii="Arial" w:cs="Arial" w:eastAsia="Arial" w:hAnsi="Arial"/>
          <w:color w:val="3B2F22"/>
          <w:sz w:val="22"/>
          <w:szCs w:val="22"/>
        </w:rPr>
        <w:t xml:space="preserve">The aesthetic borrows from the women who set the visual register for this decade: Hailey Bieber’s Rhode (glazed, warm, quietly expensive), Sofia Richie’s editorial restraint, and the broader “clean girl” vocabulary translated into a product context. The result reads as luxe but accessible, knowledgeable but not lecturing.</w:t>
      </w:r>
    </w:p>
    <w:p>
      <w:pPr>
        <w:spacing w:after="80" w:before="160"/>
      </w:pPr>
      <w:r>
        <w:rPr>
          <w:rFonts w:ascii="Arial" w:cs="Arial" w:eastAsia="Arial" w:hAnsi="Arial"/>
          <w:b/>
          <w:bCs/>
          <w:color w:val="8A7B68"/>
          <w:spacing w:val="60"/>
          <w:sz w:val="16"/>
          <w:szCs w:val="16"/>
        </w:rPr>
        <w:t xml:space="preserve">THREE WORDS</w:t>
      </w:r>
    </w:p>
    <w:p>
      <w:pPr>
        <w:spacing w:after="120"/>
      </w:pPr>
      <w:r>
        <w:rPr>
          <w:rFonts w:ascii="Arial" w:cs="Arial" w:eastAsia="Arial" w:hAnsi="Arial"/>
          <w:color w:val="3B2F22"/>
          <w:sz w:val="22"/>
          <w:szCs w:val="22"/>
        </w:rPr>
        <w:t xml:space="preserve">Quiet. Knowledgeable. Warm.</w:t>
      </w:r>
    </w:p>
    <w:p>
      <w:pPr>
        <w:spacing w:after="80" w:before="160"/>
      </w:pPr>
      <w:r>
        <w:rPr>
          <w:rFonts w:ascii="Arial" w:cs="Arial" w:eastAsia="Arial" w:hAnsi="Arial"/>
          <w:b/>
          <w:bCs/>
          <w:color w:val="8A7B68"/>
          <w:spacing w:val="60"/>
          <w:sz w:val="16"/>
          <w:szCs w:val="16"/>
        </w:rPr>
        <w:t xml:space="preserve">THREE ANTI-WORDS</w:t>
      </w:r>
    </w:p>
    <w:p>
      <w:pPr>
        <w:spacing w:after="120"/>
      </w:pPr>
      <w:r>
        <w:rPr>
          <w:rFonts w:ascii="Arial" w:cs="Arial" w:eastAsia="Arial" w:hAnsi="Arial"/>
          <w:color w:val="3B2F22"/>
          <w:sz w:val="22"/>
          <w:szCs w:val="22"/>
        </w:rPr>
        <w:t xml:space="preserve">Loud. Clinical. Punishing.</w:t>
      </w:r>
    </w:p>
    <w:p>
      <w:pPr>
        <w:pStyle w:val="Heading1"/>
        <w:spacing w:after="160" w:before="320"/>
      </w:pPr>
      <w:r>
        <w:rPr>
          <w:rFonts w:ascii="Arial" w:cs="Arial" w:eastAsia="Arial" w:hAnsi="Arial"/>
          <w:b/>
          <w:bCs/>
          <w:color w:val="3B2F22"/>
          <w:spacing w:val="-20"/>
          <w:sz w:val="44"/>
          <w:szCs w:val="44"/>
        </w:rPr>
        <w:t xml:space="preserve">02.  Where Wren sits</w:t>
      </w:r>
    </w:p>
    <w:p>
      <w:pPr>
        <w:pBdr>
          <w:bottom w:val="single" w:color="C8A989" w:sz="4" w:space="1"/>
        </w:pBdr>
        <w:spacing w:after="200" w:before="60"/>
      </w:pPr>
    </w:p>
    <w:p>
      <w:pPr>
        <w:spacing w:after="120"/>
      </w:pPr>
      <w:r>
        <w:rPr>
          <w:rFonts w:ascii="Arial" w:cs="Arial" w:eastAsia="Arial" w:hAnsi="Arial"/>
          <w:color w:val="3B2F22"/>
          <w:sz w:val="22"/>
          <w:szCs w:val="22"/>
        </w:rPr>
        <w:t xml:space="preserve">Wren is not competing on data density. It is competing on tone. The competitive set splits into three camps; Wren occupies the empty quadrant.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8A989" w:sz="4"/>
              <w:left w:val="none"/>
              <w:bottom w:val="single" w:color="C8A989" w:sz="4"/>
              <w:right w:val="none"/>
            </w:tcBorders>
            <w:shd w:fill="F5EFE6" w:val="clear"/>
            <w:tcMar>
              <w:top w:type="dxa" w:w="100"/>
              <w:left w:type="dxa" w:w="120"/>
              <w:bottom w:type="dxa" w:w="100"/>
              <w:right w:type="dxa" w:w="120"/>
            </w:tcMar>
          </w:tcPr>
          <w:p>
            <w:r>
              <w:rPr>
                <w:rFonts w:ascii="Arial" w:cs="Arial" w:eastAsia="Arial" w:hAnsi="Arial"/>
                <w:b/>
                <w:bCs/>
                <w:color w:val="3B2F22"/>
                <w:spacing w:val="30"/>
                <w:sz w:val="18"/>
                <w:szCs w:val="18"/>
              </w:rPr>
              <w:t xml:space="preserve"/>
            </w:r>
          </w:p>
        </w:tc>
        <w:tc>
          <w:tcPr>
            <w:tcW w:type="dxa" w:w="2340"/>
            <w:tcBorders>
              <w:top w:val="single" w:color="C8A989" w:sz="4"/>
              <w:left w:val="none"/>
              <w:bottom w:val="single" w:color="C8A989" w:sz="4"/>
              <w:right w:val="none"/>
            </w:tcBorders>
            <w:shd w:fill="F5EFE6" w:val="clear"/>
            <w:tcMar>
              <w:top w:type="dxa" w:w="100"/>
              <w:left w:type="dxa" w:w="120"/>
              <w:bottom w:type="dxa" w:w="100"/>
              <w:right w:type="dxa" w:w="120"/>
            </w:tcMar>
          </w:tcPr>
          <w:p>
            <w:r>
              <w:rPr>
                <w:rFonts w:ascii="Arial" w:cs="Arial" w:eastAsia="Arial" w:hAnsi="Arial"/>
                <w:b/>
                <w:bCs/>
                <w:color w:val="3B2F22"/>
                <w:spacing w:val="30"/>
                <w:sz w:val="18"/>
                <w:szCs w:val="18"/>
              </w:rPr>
              <w:t xml:space="preserve">Calorie-led</w:t>
            </w:r>
          </w:p>
        </w:tc>
        <w:tc>
          <w:tcPr>
            <w:tcW w:type="dxa" w:w="2340"/>
            <w:tcBorders>
              <w:top w:val="single" w:color="C8A989" w:sz="4"/>
              <w:left w:val="none"/>
              <w:bottom w:val="single" w:color="C8A989" w:sz="4"/>
              <w:right w:val="none"/>
            </w:tcBorders>
            <w:shd w:fill="F5EFE6" w:val="clear"/>
            <w:tcMar>
              <w:top w:type="dxa" w:w="100"/>
              <w:left w:type="dxa" w:w="120"/>
              <w:bottom w:type="dxa" w:w="100"/>
              <w:right w:type="dxa" w:w="120"/>
            </w:tcMar>
          </w:tcPr>
          <w:p>
            <w:r>
              <w:rPr>
                <w:rFonts w:ascii="Arial" w:cs="Arial" w:eastAsia="Arial" w:hAnsi="Arial"/>
                <w:b/>
                <w:bCs/>
                <w:color w:val="3B2F22"/>
                <w:spacing w:val="30"/>
                <w:sz w:val="18"/>
                <w:szCs w:val="18"/>
              </w:rPr>
              <w:t xml:space="preserve">Performance-led</w:t>
            </w:r>
          </w:p>
        </w:tc>
        <w:tc>
          <w:tcPr>
            <w:tcW w:type="dxa" w:w="2340"/>
            <w:tcBorders>
              <w:top w:val="single" w:color="C8A989" w:sz="4"/>
              <w:left w:val="none"/>
              <w:bottom w:val="single" w:color="C8A989" w:sz="4"/>
              <w:right w:val="none"/>
            </w:tcBorders>
            <w:shd w:fill="F5EFE6" w:val="clear"/>
            <w:tcMar>
              <w:top w:type="dxa" w:w="100"/>
              <w:left w:type="dxa" w:w="120"/>
              <w:bottom w:type="dxa" w:w="100"/>
              <w:right w:type="dxa" w:w="120"/>
            </w:tcMar>
          </w:tcPr>
          <w:p>
            <w:r>
              <w:rPr>
                <w:rFonts w:ascii="Arial" w:cs="Arial" w:eastAsia="Arial" w:hAnsi="Arial"/>
                <w:b/>
                <w:bCs/>
                <w:color w:val="3B2F22"/>
                <w:spacing w:val="30"/>
                <w:sz w:val="18"/>
                <w:szCs w:val="18"/>
              </w:rPr>
              <w:t xml:space="preserve">Cycle-led</w:t>
            </w:r>
          </w:p>
        </w:tc>
      </w:tr>
      <w:tr>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iCs/>
                <w:color w:val="8A7B68"/>
                <w:sz w:val="18"/>
                <w:szCs w:val="18"/>
              </w:rPr>
              <w:t xml:space="preserve">Examples</w:t>
            </w:r>
          </w:p>
        </w:tc>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val="false"/>
                <w:iCs w:val="false"/>
                <w:color w:val="3B2F22"/>
                <w:sz w:val="18"/>
                <w:szCs w:val="18"/>
              </w:rPr>
              <w:t xml:space="preserve">MyFitnessPal, Cal AI, Noom, Lifesum</w:t>
            </w:r>
          </w:p>
        </w:tc>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val="false"/>
                <w:iCs w:val="false"/>
                <w:color w:val="3B2F22"/>
                <w:sz w:val="18"/>
                <w:szCs w:val="18"/>
              </w:rPr>
              <w:t xml:space="preserve">Whoop, Oura, Strava</w:t>
            </w:r>
          </w:p>
        </w:tc>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val="false"/>
                <w:iCs w:val="false"/>
                <w:color w:val="3B2F22"/>
                <w:sz w:val="18"/>
                <w:szCs w:val="18"/>
              </w:rPr>
              <w:t xml:space="preserve">Flo, Clue</w:t>
            </w:r>
          </w:p>
        </w:tc>
      </w:tr>
      <w:tr>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iCs/>
                <w:color w:val="8A7B68"/>
                <w:sz w:val="18"/>
                <w:szCs w:val="18"/>
              </w:rPr>
              <w:t xml:space="preserve">Vibe</w:t>
            </w:r>
          </w:p>
        </w:tc>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val="false"/>
                <w:iCs w:val="false"/>
                <w:color w:val="3B2F22"/>
                <w:sz w:val="18"/>
                <w:szCs w:val="18"/>
              </w:rPr>
              <w:t xml:space="preserve">Spreadsheet, scoreboard</w:t>
            </w:r>
          </w:p>
        </w:tc>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val="false"/>
                <w:iCs w:val="false"/>
                <w:color w:val="3B2F22"/>
                <w:sz w:val="18"/>
                <w:szCs w:val="18"/>
              </w:rPr>
              <w:t xml:space="preserve">Sports science, biometric</w:t>
            </w:r>
          </w:p>
        </w:tc>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val="false"/>
                <w:iCs w:val="false"/>
                <w:color w:val="3B2F22"/>
                <w:sz w:val="18"/>
                <w:szCs w:val="18"/>
              </w:rPr>
              <w:t xml:space="preserve">Pastel, friendly, app-y</w:t>
            </w:r>
          </w:p>
        </w:tc>
      </w:tr>
      <w:tr>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iCs/>
                <w:color w:val="8A7B68"/>
                <w:sz w:val="18"/>
                <w:szCs w:val="18"/>
              </w:rPr>
              <w:t xml:space="preserve">Visual language</w:t>
            </w:r>
          </w:p>
        </w:tc>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val="false"/>
                <w:iCs w:val="false"/>
                <w:color w:val="3B2F22"/>
                <w:sz w:val="18"/>
                <w:szCs w:val="18"/>
              </w:rPr>
              <w:t xml:space="preserve">Hard blue/green, big numbers</w:t>
            </w:r>
          </w:p>
        </w:tc>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val="false"/>
                <w:iCs w:val="false"/>
                <w:color w:val="3B2F22"/>
                <w:sz w:val="18"/>
                <w:szCs w:val="18"/>
              </w:rPr>
              <w:t xml:space="preserve">Dark, neon graphs, dense</w:t>
            </w:r>
          </w:p>
        </w:tc>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val="false"/>
                <w:iCs w:val="false"/>
                <w:color w:val="3B2F22"/>
                <w:sz w:val="18"/>
                <w:szCs w:val="18"/>
              </w:rPr>
              <w:t xml:space="preserve">Pink/red, illustrated</w:t>
            </w:r>
          </w:p>
        </w:tc>
      </w:tr>
      <w:tr>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iCs/>
                <w:color w:val="8A7B68"/>
                <w:sz w:val="18"/>
                <w:szCs w:val="18"/>
              </w:rPr>
              <w:t xml:space="preserve">Tone risk</w:t>
            </w:r>
          </w:p>
        </w:tc>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val="false"/>
                <w:iCs w:val="false"/>
                <w:color w:val="3B2F22"/>
                <w:sz w:val="18"/>
                <w:szCs w:val="18"/>
              </w:rPr>
              <w:t xml:space="preserve">Triggers ED behaviors</w:t>
            </w:r>
          </w:p>
        </w:tc>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val="false"/>
                <w:iCs w:val="false"/>
                <w:color w:val="3B2F22"/>
                <w:sz w:val="18"/>
                <w:szCs w:val="18"/>
              </w:rPr>
              <w:t xml:space="preserve">Athlete-only, masc-coded</w:t>
            </w:r>
          </w:p>
        </w:tc>
        <w:tc>
          <w:tcPr>
            <w:tcW w:type="dxa" w:w="2340"/>
            <w:tcBorders>
              <w:top w:val="none"/>
              <w:left w:val="none"/>
              <w:bottom w:val="single" w:color="F1E3C9" w:sz="2"/>
              <w:right w:val="none"/>
            </w:tcBorders>
            <w:tcMar>
              <w:top w:type="dxa" w:w="80"/>
              <w:left w:type="dxa" w:w="120"/>
              <w:bottom w:type="dxa" w:w="80"/>
              <w:right w:type="dxa" w:w="120"/>
            </w:tcMar>
          </w:tcPr>
          <w:p>
            <w:r>
              <w:rPr>
                <w:rFonts w:ascii="Arial" w:cs="Arial" w:eastAsia="Arial" w:hAnsi="Arial"/>
                <w:i w:val="false"/>
                <w:iCs w:val="false"/>
                <w:color w:val="3B2F22"/>
                <w:sz w:val="18"/>
                <w:szCs w:val="18"/>
              </w:rPr>
              <w:t xml:space="preserve">Reads juvenile to adult women</w:t>
            </w:r>
          </w:p>
        </w:tc>
      </w:tr>
    </w:tbl>
    <w:p>
      <w:pPr>
        <w:spacing w:before="240"/>
      </w:pPr>
      <w:r>
        <w:rPr>
          <w:rFonts w:ascii="Arial" w:cs="Arial" w:eastAsia="Arial" w:hAnsi="Arial"/>
          <w:b/>
          <w:bCs/>
          <w:color w:val="6B5641"/>
          <w:sz w:val="22"/>
          <w:szCs w:val="22"/>
        </w:rPr>
        <w:t xml:space="preserve">Wren’s seat: </w:t>
      </w:r>
      <w:r>
        <w:rPr>
          <w:rFonts w:ascii="Arial" w:cs="Arial" w:eastAsia="Arial" w:hAnsi="Arial"/>
          <w:color w:val="3B2F22"/>
          <w:sz w:val="22"/>
          <w:szCs w:val="22"/>
        </w:rPr>
        <w:t xml:space="preserve">adult, calm, neutral-warm, cycle-aware, coach-led. The space no one occupies.</w:t>
      </w:r>
    </w:p>
    <w:p>
      <w:r>
        <w:br w:type="page"/>
      </w:r>
    </w:p>
    <w:p>
      <w:pPr>
        <w:pStyle w:val="Heading1"/>
        <w:spacing w:after="160" w:before="320"/>
      </w:pPr>
      <w:r>
        <w:rPr>
          <w:rFonts w:ascii="Arial" w:cs="Arial" w:eastAsia="Arial" w:hAnsi="Arial"/>
          <w:b/>
          <w:bCs/>
          <w:color w:val="3B2F22"/>
          <w:spacing w:val="-20"/>
          <w:sz w:val="44"/>
          <w:szCs w:val="44"/>
        </w:rPr>
        <w:t xml:space="preserve">03.  Palette</w:t>
      </w:r>
    </w:p>
    <w:p>
      <w:pPr>
        <w:pBdr>
          <w:bottom w:val="single" w:color="C8A989" w:sz="4" w:space="1"/>
        </w:pBdr>
        <w:spacing w:after="200" w:before="60"/>
      </w:pPr>
    </w:p>
    <w:p>
      <w:pPr>
        <w:spacing w:after="120"/>
      </w:pPr>
      <w:r>
        <w:rPr>
          <w:rFonts w:ascii="Arial" w:cs="Arial" w:eastAsia="Arial" w:hAnsi="Arial"/>
          <w:color w:val="3B2F22"/>
          <w:sz w:val="22"/>
          <w:szCs w:val="22"/>
        </w:rPr>
        <w:t xml:space="preserve">Two layers. The Core layer is the entire neutral foundation — every screen lives here. The Signal layer adds functional warmth for cycle phase, success, alert, and information states. The whole system stays inside a warm spectrum; there is no cold blue or aggressive red.</w:t>
      </w:r>
    </w:p>
    <w:p>
      <w:pPr>
        <w:spacing w:after="80" w:before="160"/>
      </w:pPr>
      <w:r>
        <w:rPr>
          <w:rFonts w:ascii="Arial" w:cs="Arial" w:eastAsia="Arial" w:hAnsi="Arial"/>
          <w:b/>
          <w:bCs/>
          <w:color w:val="8A7B68"/>
          <w:spacing w:val="60"/>
          <w:sz w:val="16"/>
          <w:szCs w:val="16"/>
        </w:rPr>
        <w:t xml:space="preserve">CORE — NEUTRAL FOUNDATION</w:t>
      </w:r>
    </w:p>
    <w:tbl>
      <w:tblPr>
        <w:tblW w:type="dxa" w:w="9360"/>
        <w:tblBorders>
          <w:top w:val="none"/>
          <w:left w:val="none"/>
          <w:bottom w:val="none"/>
          <w:right w:val="none"/>
          <w:insideH w:val="none"/>
          <w:insideV w:val="none"/>
        </w:tblBorders>
      </w:tblPr>
      <w:tblGrid>
        <w:gridCol w:w="2340"/>
        <w:gridCol w:w="2340"/>
        <w:gridCol w:w="2340"/>
        <w:gridCol w:w="2340"/>
      </w:tblGrid>
      <w:tr>
        <w:tc>
          <w:tcPr>
            <w:tcW w:type="dxa" w:w="2340"/>
            <w:shd w:fill="FBF7F0" w:val="clear"/>
            <w:tcMar>
              <w:top w:type="dxa" w:w="480"/>
              <w:left w:type="dxa" w:w="80"/>
              <w:bottom w:type="dxa" w:w="480"/>
              <w:right w:type="dxa" w:w="80"/>
            </w:tcMar>
          </w:tcPr>
          <w:p/>
        </w:tc>
        <w:tc>
          <w:tcPr>
            <w:tcW w:type="dxa" w:w="2340"/>
            <w:shd w:fill="F5EFE6" w:val="clear"/>
            <w:tcMar>
              <w:top w:type="dxa" w:w="480"/>
              <w:left w:type="dxa" w:w="80"/>
              <w:bottom w:type="dxa" w:w="480"/>
              <w:right w:type="dxa" w:w="80"/>
            </w:tcMar>
          </w:tcPr>
          <w:p/>
        </w:tc>
        <w:tc>
          <w:tcPr>
            <w:tcW w:type="dxa" w:w="2340"/>
            <w:shd w:fill="F1E3C9" w:val="clear"/>
            <w:tcMar>
              <w:top w:type="dxa" w:w="480"/>
              <w:left w:type="dxa" w:w="80"/>
              <w:bottom w:type="dxa" w:w="480"/>
              <w:right w:type="dxa" w:w="80"/>
            </w:tcMar>
          </w:tcPr>
          <w:p/>
        </w:tc>
        <w:tc>
          <w:tcPr>
            <w:tcW w:type="dxa" w:w="2340"/>
            <w:shd w:fill="E3E8E9" w:val="clear"/>
            <w:tcMar>
              <w:top w:type="dxa" w:w="480"/>
              <w:left w:type="dxa" w:w="80"/>
              <w:bottom w:type="dxa" w:w="480"/>
              <w:right w:type="dxa" w:w="80"/>
            </w:tcMar>
          </w:tcPr>
          <w:p/>
        </w:tc>
      </w:tr>
      <w:tr>
        <w:tc>
          <w:tcPr>
            <w:tcW w:type="dxa" w:w="2340"/>
            <w:tcMar>
              <w:top w:type="dxa" w:w="80"/>
              <w:left w:type="dxa" w:w="80"/>
              <w:bottom w:type="dxa" w:w="40"/>
              <w:right w:type="dxa" w:w="80"/>
            </w:tcMar>
          </w:tcPr>
          <w:p>
            <w:r>
              <w:rPr>
                <w:rFonts w:ascii="Arial" w:cs="Arial" w:eastAsia="Arial" w:hAnsi="Arial"/>
                <w:b/>
                <w:bCs/>
                <w:color w:val="3B2F22"/>
                <w:sz w:val="20"/>
                <w:szCs w:val="20"/>
              </w:rPr>
              <w:t xml:space="preserve">Glaze</w:t>
            </w:r>
          </w:p>
        </w:tc>
        <w:tc>
          <w:tcPr>
            <w:tcW w:type="dxa" w:w="2340"/>
            <w:tcMar>
              <w:top w:type="dxa" w:w="80"/>
              <w:left w:type="dxa" w:w="80"/>
              <w:bottom w:type="dxa" w:w="40"/>
              <w:right w:type="dxa" w:w="80"/>
            </w:tcMar>
          </w:tcPr>
          <w:p>
            <w:r>
              <w:rPr>
                <w:rFonts w:ascii="Arial" w:cs="Arial" w:eastAsia="Arial" w:hAnsi="Arial"/>
                <w:b/>
                <w:bCs/>
                <w:color w:val="3B2F22"/>
                <w:sz w:val="20"/>
                <w:szCs w:val="20"/>
              </w:rPr>
              <w:t xml:space="preserve">Cream</w:t>
            </w:r>
          </w:p>
        </w:tc>
        <w:tc>
          <w:tcPr>
            <w:tcW w:type="dxa" w:w="2340"/>
            <w:tcMar>
              <w:top w:type="dxa" w:w="80"/>
              <w:left w:type="dxa" w:w="80"/>
              <w:bottom w:type="dxa" w:w="40"/>
              <w:right w:type="dxa" w:w="80"/>
            </w:tcMar>
          </w:tcPr>
          <w:p>
            <w:r>
              <w:rPr>
                <w:rFonts w:ascii="Arial" w:cs="Arial" w:eastAsia="Arial" w:hAnsi="Arial"/>
                <w:b/>
                <w:bCs/>
                <w:color w:val="3B2F22"/>
                <w:sz w:val="20"/>
                <w:szCs w:val="20"/>
              </w:rPr>
              <w:t xml:space="preserve">Butter</w:t>
            </w:r>
          </w:p>
        </w:tc>
        <w:tc>
          <w:tcPr>
            <w:tcW w:type="dxa" w:w="2340"/>
            <w:tcMar>
              <w:top w:type="dxa" w:w="80"/>
              <w:left w:type="dxa" w:w="80"/>
              <w:bottom w:type="dxa" w:w="40"/>
              <w:right w:type="dxa" w:w="80"/>
            </w:tcMar>
          </w:tcPr>
          <w:p>
            <w:r>
              <w:rPr>
                <w:rFonts w:ascii="Arial" w:cs="Arial" w:eastAsia="Arial" w:hAnsi="Arial"/>
                <w:b/>
                <w:bCs/>
                <w:color w:val="3B2F22"/>
                <w:sz w:val="20"/>
                <w:szCs w:val="20"/>
              </w:rPr>
              <w:t xml:space="preserve">Vapor</w:t>
            </w:r>
          </w:p>
        </w:tc>
      </w:tr>
      <w:tr>
        <w:tc>
          <w:tcPr>
            <w:tcW w:type="dxa" w:w="2340"/>
            <w:tcMar>
              <w:top w:type="dxa" w:w="0"/>
              <w:left w:type="dxa" w:w="80"/>
              <w:bottom w:type="dxa" w:w="60"/>
              <w:right w:type="dxa" w:w="80"/>
            </w:tcMar>
          </w:tcPr>
          <w:p>
            <w:r>
              <w:rPr>
                <w:rFonts w:ascii="Courier New" w:cs="Courier New" w:eastAsia="Courier New" w:hAnsi="Courier New"/>
                <w:color w:val="8A7B68"/>
                <w:sz w:val="18"/>
                <w:szCs w:val="18"/>
              </w:rPr>
              <w:t xml:space="preserve">#FBF7F0</w:t>
            </w:r>
          </w:p>
        </w:tc>
        <w:tc>
          <w:tcPr>
            <w:tcW w:type="dxa" w:w="2340"/>
            <w:tcMar>
              <w:top w:type="dxa" w:w="0"/>
              <w:left w:type="dxa" w:w="80"/>
              <w:bottom w:type="dxa" w:w="60"/>
              <w:right w:type="dxa" w:w="80"/>
            </w:tcMar>
          </w:tcPr>
          <w:p>
            <w:r>
              <w:rPr>
                <w:rFonts w:ascii="Courier New" w:cs="Courier New" w:eastAsia="Courier New" w:hAnsi="Courier New"/>
                <w:color w:val="8A7B68"/>
                <w:sz w:val="18"/>
                <w:szCs w:val="18"/>
              </w:rPr>
              <w:t xml:space="preserve">#F5EFE6</w:t>
            </w:r>
          </w:p>
        </w:tc>
        <w:tc>
          <w:tcPr>
            <w:tcW w:type="dxa" w:w="2340"/>
            <w:tcMar>
              <w:top w:type="dxa" w:w="0"/>
              <w:left w:type="dxa" w:w="80"/>
              <w:bottom w:type="dxa" w:w="60"/>
              <w:right w:type="dxa" w:w="80"/>
            </w:tcMar>
          </w:tcPr>
          <w:p>
            <w:r>
              <w:rPr>
                <w:rFonts w:ascii="Courier New" w:cs="Courier New" w:eastAsia="Courier New" w:hAnsi="Courier New"/>
                <w:color w:val="8A7B68"/>
                <w:sz w:val="18"/>
                <w:szCs w:val="18"/>
              </w:rPr>
              <w:t xml:space="preserve">#F1E3C9</w:t>
            </w:r>
          </w:p>
        </w:tc>
        <w:tc>
          <w:tcPr>
            <w:tcW w:type="dxa" w:w="2340"/>
            <w:tcMar>
              <w:top w:type="dxa" w:w="0"/>
              <w:left w:type="dxa" w:w="80"/>
              <w:bottom w:type="dxa" w:w="60"/>
              <w:right w:type="dxa" w:w="80"/>
            </w:tcMar>
          </w:tcPr>
          <w:p>
            <w:r>
              <w:rPr>
                <w:rFonts w:ascii="Courier New" w:cs="Courier New" w:eastAsia="Courier New" w:hAnsi="Courier New"/>
                <w:color w:val="8A7B68"/>
                <w:sz w:val="18"/>
                <w:szCs w:val="18"/>
              </w:rPr>
              <w:t xml:space="preserve">#E3E8E9</w:t>
            </w:r>
          </w:p>
        </w:tc>
      </w:tr>
      <w:tr>
        <w:tc>
          <w:tcPr>
            <w:tcW w:type="dxa" w:w="2340"/>
            <w:tcMar>
              <w:top w:type="dxa" w:w="0"/>
              <w:left w:type="dxa" w:w="80"/>
              <w:bottom w:type="dxa" w:w="160"/>
              <w:right w:type="dxa" w:w="80"/>
            </w:tcMar>
          </w:tcPr>
          <w:p>
            <w:r>
              <w:rPr>
                <w:rFonts w:ascii="Arial" w:cs="Arial" w:eastAsia="Arial" w:hAnsi="Arial"/>
                <w:color w:val="6B5641"/>
                <w:sz w:val="18"/>
                <w:szCs w:val="18"/>
              </w:rPr>
              <w:t xml:space="preserve">app background</w:t>
            </w:r>
          </w:p>
        </w:tc>
        <w:tc>
          <w:tcPr>
            <w:tcW w:type="dxa" w:w="2340"/>
            <w:tcMar>
              <w:top w:type="dxa" w:w="0"/>
              <w:left w:type="dxa" w:w="80"/>
              <w:bottom w:type="dxa" w:w="160"/>
              <w:right w:type="dxa" w:w="80"/>
            </w:tcMar>
          </w:tcPr>
          <w:p>
            <w:r>
              <w:rPr>
                <w:rFonts w:ascii="Arial" w:cs="Arial" w:eastAsia="Arial" w:hAnsi="Arial"/>
                <w:color w:val="6B5641"/>
                <w:sz w:val="18"/>
                <w:szCs w:val="18"/>
              </w:rPr>
              <w:t xml:space="preserve">surface</w:t>
            </w:r>
          </w:p>
        </w:tc>
        <w:tc>
          <w:tcPr>
            <w:tcW w:type="dxa" w:w="2340"/>
            <w:tcMar>
              <w:top w:type="dxa" w:w="0"/>
              <w:left w:type="dxa" w:w="80"/>
              <w:bottom w:type="dxa" w:w="160"/>
              <w:right w:type="dxa" w:w="80"/>
            </w:tcMar>
          </w:tcPr>
          <w:p>
            <w:r>
              <w:rPr>
                <w:rFonts w:ascii="Arial" w:cs="Arial" w:eastAsia="Arial" w:hAnsi="Arial"/>
                <w:color w:val="6B5641"/>
                <w:sz w:val="18"/>
                <w:szCs w:val="18"/>
              </w:rPr>
              <w:t xml:space="preserve">soft accent</w:t>
            </w:r>
          </w:p>
        </w:tc>
        <w:tc>
          <w:tcPr>
            <w:tcW w:type="dxa" w:w="2340"/>
            <w:tcMar>
              <w:top w:type="dxa" w:w="0"/>
              <w:left w:type="dxa" w:w="80"/>
              <w:bottom w:type="dxa" w:w="160"/>
              <w:right w:type="dxa" w:w="80"/>
            </w:tcMar>
          </w:tcPr>
          <w:p>
            <w:r>
              <w:rPr>
                <w:rFonts w:ascii="Arial" w:cs="Arial" w:eastAsia="Arial" w:hAnsi="Arial"/>
                <w:color w:val="6B5641"/>
                <w:sz w:val="18"/>
                <w:szCs w:val="18"/>
              </w:rPr>
              <w:t xml:space="preserve">primary accent ★</w:t>
            </w:r>
          </w:p>
        </w:tc>
      </w:tr>
    </w:tbl>
    <w:p>
      <w:pPr>
        <w:spacing w:after="120"/>
      </w:pPr>
    </w:p>
    <w:tbl>
      <w:tblPr>
        <w:tblW w:type="dxa" w:w="9360"/>
        <w:tblBorders>
          <w:top w:val="none"/>
          <w:left w:val="none"/>
          <w:bottom w:val="none"/>
          <w:right w:val="none"/>
          <w:insideH w:val="none"/>
          <w:insideV w:val="none"/>
        </w:tblBorders>
      </w:tblPr>
      <w:tblGrid>
        <w:gridCol w:w="2340"/>
        <w:gridCol w:w="2340"/>
        <w:gridCol w:w="2340"/>
        <w:gridCol w:w="2340"/>
      </w:tblGrid>
      <w:tr>
        <w:tc>
          <w:tcPr>
            <w:tcW w:type="dxa" w:w="2340"/>
            <w:shd w:fill="C8A989" w:val="clear"/>
            <w:tcMar>
              <w:top w:type="dxa" w:w="480"/>
              <w:left w:type="dxa" w:w="80"/>
              <w:bottom w:type="dxa" w:w="480"/>
              <w:right w:type="dxa" w:w="80"/>
            </w:tcMar>
          </w:tcPr>
          <w:p/>
        </w:tc>
        <w:tc>
          <w:tcPr>
            <w:tcW w:type="dxa" w:w="2340"/>
            <w:shd w:fill="6B5641" w:val="clear"/>
            <w:tcMar>
              <w:top w:type="dxa" w:w="480"/>
              <w:left w:type="dxa" w:w="80"/>
              <w:bottom w:type="dxa" w:w="480"/>
              <w:right w:type="dxa" w:w="80"/>
            </w:tcMar>
          </w:tcPr>
          <w:p/>
        </w:tc>
        <w:tc>
          <w:tcPr>
            <w:tcW w:type="dxa" w:w="2340"/>
            <w:shd w:fill="3B2F22" w:val="clear"/>
            <w:tcMar>
              <w:top w:type="dxa" w:w="480"/>
              <w:left w:type="dxa" w:w="80"/>
              <w:bottom w:type="dxa" w:w="480"/>
              <w:right w:type="dxa" w:w="80"/>
            </w:tcMar>
          </w:tcPr>
          <w:p/>
        </w:tc>
        <w:tc>
          <w:tcPr>
            <w:tcW w:type="dxa" w:w="2340"/>
            <w:shd w:fill="8A7B68" w:val="clear"/>
            <w:tcMar>
              <w:top w:type="dxa" w:w="480"/>
              <w:left w:type="dxa" w:w="80"/>
              <w:bottom w:type="dxa" w:w="480"/>
              <w:right w:type="dxa" w:w="80"/>
            </w:tcMar>
          </w:tcPr>
          <w:p/>
        </w:tc>
      </w:tr>
      <w:tr>
        <w:tc>
          <w:tcPr>
            <w:tcW w:type="dxa" w:w="2340"/>
            <w:tcMar>
              <w:top w:type="dxa" w:w="80"/>
              <w:left w:type="dxa" w:w="80"/>
              <w:bottom w:type="dxa" w:w="40"/>
              <w:right w:type="dxa" w:w="80"/>
            </w:tcMar>
          </w:tcPr>
          <w:p>
            <w:r>
              <w:rPr>
                <w:rFonts w:ascii="Arial" w:cs="Arial" w:eastAsia="Arial" w:hAnsi="Arial"/>
                <w:b/>
                <w:bCs/>
                <w:color w:val="3B2F22"/>
                <w:sz w:val="20"/>
                <w:szCs w:val="20"/>
              </w:rPr>
              <w:t xml:space="preserve">Latte</w:t>
            </w:r>
          </w:p>
        </w:tc>
        <w:tc>
          <w:tcPr>
            <w:tcW w:type="dxa" w:w="2340"/>
            <w:tcMar>
              <w:top w:type="dxa" w:w="80"/>
              <w:left w:type="dxa" w:w="80"/>
              <w:bottom w:type="dxa" w:w="40"/>
              <w:right w:type="dxa" w:w="80"/>
            </w:tcMar>
          </w:tcPr>
          <w:p>
            <w:r>
              <w:rPr>
                <w:rFonts w:ascii="Arial" w:cs="Arial" w:eastAsia="Arial" w:hAnsi="Arial"/>
                <w:b/>
                <w:bCs/>
                <w:color w:val="3B2F22"/>
                <w:sz w:val="20"/>
                <w:szCs w:val="20"/>
              </w:rPr>
              <w:t xml:space="preserve">Cocoa</w:t>
            </w:r>
          </w:p>
        </w:tc>
        <w:tc>
          <w:tcPr>
            <w:tcW w:type="dxa" w:w="2340"/>
            <w:tcMar>
              <w:top w:type="dxa" w:w="80"/>
              <w:left w:type="dxa" w:w="80"/>
              <w:bottom w:type="dxa" w:w="40"/>
              <w:right w:type="dxa" w:w="80"/>
            </w:tcMar>
          </w:tcPr>
          <w:p>
            <w:r>
              <w:rPr>
                <w:rFonts w:ascii="Arial" w:cs="Arial" w:eastAsia="Arial" w:hAnsi="Arial"/>
                <w:b/>
                <w:bCs/>
                <w:color w:val="3B2F22"/>
                <w:sz w:val="20"/>
                <w:szCs w:val="20"/>
              </w:rPr>
              <w:t xml:space="preserve">Espresso</w:t>
            </w:r>
          </w:p>
        </w:tc>
        <w:tc>
          <w:tcPr>
            <w:tcW w:type="dxa" w:w="2340"/>
            <w:tcMar>
              <w:top w:type="dxa" w:w="80"/>
              <w:left w:type="dxa" w:w="80"/>
              <w:bottom w:type="dxa" w:w="40"/>
              <w:right w:type="dxa" w:w="80"/>
            </w:tcMar>
          </w:tcPr>
          <w:p>
            <w:r>
              <w:rPr>
                <w:rFonts w:ascii="Arial" w:cs="Arial" w:eastAsia="Arial" w:hAnsi="Arial"/>
                <w:b/>
                <w:bCs/>
                <w:color w:val="3B2F22"/>
                <w:sz w:val="20"/>
                <w:szCs w:val="20"/>
              </w:rPr>
              <w:t xml:space="preserve">Taupe</w:t>
            </w:r>
          </w:p>
        </w:tc>
      </w:tr>
      <w:tr>
        <w:tc>
          <w:tcPr>
            <w:tcW w:type="dxa" w:w="2340"/>
            <w:tcMar>
              <w:top w:type="dxa" w:w="0"/>
              <w:left w:type="dxa" w:w="80"/>
              <w:bottom w:type="dxa" w:w="60"/>
              <w:right w:type="dxa" w:w="80"/>
            </w:tcMar>
          </w:tcPr>
          <w:p>
            <w:r>
              <w:rPr>
                <w:rFonts w:ascii="Courier New" w:cs="Courier New" w:eastAsia="Courier New" w:hAnsi="Courier New"/>
                <w:color w:val="8A7B68"/>
                <w:sz w:val="18"/>
                <w:szCs w:val="18"/>
              </w:rPr>
              <w:t xml:space="preserve">#C8A989</w:t>
            </w:r>
          </w:p>
        </w:tc>
        <w:tc>
          <w:tcPr>
            <w:tcW w:type="dxa" w:w="2340"/>
            <w:tcMar>
              <w:top w:type="dxa" w:w="0"/>
              <w:left w:type="dxa" w:w="80"/>
              <w:bottom w:type="dxa" w:w="60"/>
              <w:right w:type="dxa" w:w="80"/>
            </w:tcMar>
          </w:tcPr>
          <w:p>
            <w:r>
              <w:rPr>
                <w:rFonts w:ascii="Courier New" w:cs="Courier New" w:eastAsia="Courier New" w:hAnsi="Courier New"/>
                <w:color w:val="8A7B68"/>
                <w:sz w:val="18"/>
                <w:szCs w:val="18"/>
              </w:rPr>
              <w:t xml:space="preserve">#6B5641</w:t>
            </w:r>
          </w:p>
        </w:tc>
        <w:tc>
          <w:tcPr>
            <w:tcW w:type="dxa" w:w="2340"/>
            <w:tcMar>
              <w:top w:type="dxa" w:w="0"/>
              <w:left w:type="dxa" w:w="80"/>
              <w:bottom w:type="dxa" w:w="60"/>
              <w:right w:type="dxa" w:w="80"/>
            </w:tcMar>
          </w:tcPr>
          <w:p>
            <w:r>
              <w:rPr>
                <w:rFonts w:ascii="Courier New" w:cs="Courier New" w:eastAsia="Courier New" w:hAnsi="Courier New"/>
                <w:color w:val="8A7B68"/>
                <w:sz w:val="18"/>
                <w:szCs w:val="18"/>
              </w:rPr>
              <w:t xml:space="preserve">#3B2F22</w:t>
            </w:r>
          </w:p>
        </w:tc>
        <w:tc>
          <w:tcPr>
            <w:tcW w:type="dxa" w:w="2340"/>
            <w:tcMar>
              <w:top w:type="dxa" w:w="0"/>
              <w:left w:type="dxa" w:w="80"/>
              <w:bottom w:type="dxa" w:w="60"/>
              <w:right w:type="dxa" w:w="80"/>
            </w:tcMar>
          </w:tcPr>
          <w:p>
            <w:r>
              <w:rPr>
                <w:rFonts w:ascii="Courier New" w:cs="Courier New" w:eastAsia="Courier New" w:hAnsi="Courier New"/>
                <w:color w:val="8A7B68"/>
                <w:sz w:val="18"/>
                <w:szCs w:val="18"/>
              </w:rPr>
              <w:t xml:space="preserve">#8A7B68</w:t>
            </w:r>
          </w:p>
        </w:tc>
      </w:tr>
      <w:tr>
        <w:tc>
          <w:tcPr>
            <w:tcW w:type="dxa" w:w="2340"/>
            <w:tcMar>
              <w:top w:type="dxa" w:w="0"/>
              <w:left w:type="dxa" w:w="80"/>
              <w:bottom w:type="dxa" w:w="160"/>
              <w:right w:type="dxa" w:w="80"/>
            </w:tcMar>
          </w:tcPr>
          <w:p>
            <w:r>
              <w:rPr>
                <w:rFonts w:ascii="Arial" w:cs="Arial" w:eastAsia="Arial" w:hAnsi="Arial"/>
                <w:color w:val="6B5641"/>
                <w:sz w:val="18"/>
                <w:szCs w:val="18"/>
              </w:rPr>
              <w:t xml:space="preserve">mid-tone</w:t>
            </w:r>
          </w:p>
        </w:tc>
        <w:tc>
          <w:tcPr>
            <w:tcW w:type="dxa" w:w="2340"/>
            <w:tcMar>
              <w:top w:type="dxa" w:w="0"/>
              <w:left w:type="dxa" w:w="80"/>
              <w:bottom w:type="dxa" w:w="160"/>
              <w:right w:type="dxa" w:w="80"/>
            </w:tcMar>
          </w:tcPr>
          <w:p>
            <w:r>
              <w:rPr>
                <w:rFonts w:ascii="Arial" w:cs="Arial" w:eastAsia="Arial" w:hAnsi="Arial"/>
                <w:color w:val="6B5641"/>
                <w:sz w:val="18"/>
                <w:szCs w:val="18"/>
              </w:rPr>
              <w:t xml:space="preserve">body text mid</w:t>
            </w:r>
          </w:p>
        </w:tc>
        <w:tc>
          <w:tcPr>
            <w:tcW w:type="dxa" w:w="2340"/>
            <w:tcMar>
              <w:top w:type="dxa" w:w="0"/>
              <w:left w:type="dxa" w:w="80"/>
              <w:bottom w:type="dxa" w:w="160"/>
              <w:right w:type="dxa" w:w="80"/>
            </w:tcMar>
          </w:tcPr>
          <w:p>
            <w:r>
              <w:rPr>
                <w:rFonts w:ascii="Arial" w:cs="Arial" w:eastAsia="Arial" w:hAnsi="Arial"/>
                <w:color w:val="6B5641"/>
                <w:sz w:val="18"/>
                <w:szCs w:val="18"/>
              </w:rPr>
              <w:t xml:space="preserve">primary text / dark surface</w:t>
            </w:r>
          </w:p>
        </w:tc>
        <w:tc>
          <w:tcPr>
            <w:tcW w:type="dxa" w:w="2340"/>
            <w:tcMar>
              <w:top w:type="dxa" w:w="0"/>
              <w:left w:type="dxa" w:w="80"/>
              <w:bottom w:type="dxa" w:w="160"/>
              <w:right w:type="dxa" w:w="80"/>
            </w:tcMar>
          </w:tcPr>
          <w:p>
            <w:r>
              <w:rPr>
                <w:rFonts w:ascii="Arial" w:cs="Arial" w:eastAsia="Arial" w:hAnsi="Arial"/>
                <w:color w:val="6B5641"/>
                <w:sz w:val="18"/>
                <w:szCs w:val="18"/>
              </w:rPr>
              <w:t xml:space="preserve">labels / metadata</w:t>
            </w:r>
          </w:p>
        </w:tc>
      </w:tr>
    </w:tbl>
    <w:p>
      <w:pPr>
        <w:spacing w:after="80" w:before="160"/>
      </w:pPr>
      <w:r>
        <w:rPr>
          <w:rFonts w:ascii="Arial" w:cs="Arial" w:eastAsia="Arial" w:hAnsi="Arial"/>
          <w:b/>
          <w:bCs/>
          <w:color w:val="8A7B68"/>
          <w:spacing w:val="60"/>
          <w:sz w:val="16"/>
          <w:szCs w:val="16"/>
        </w:rPr>
        <w:t xml:space="preserve">SIGNAL — FUNCTIONAL ACCENTS</w:t>
      </w:r>
    </w:p>
    <w:tbl>
      <w:tblPr>
        <w:tblW w:type="dxa" w:w="9360"/>
        <w:tblBorders>
          <w:top w:val="none"/>
          <w:left w:val="none"/>
          <w:bottom w:val="none"/>
          <w:right w:val="none"/>
          <w:insideH w:val="none"/>
          <w:insideV w:val="none"/>
        </w:tblBorders>
      </w:tblPr>
      <w:tblGrid>
        <w:gridCol w:w="2340"/>
        <w:gridCol w:w="2340"/>
        <w:gridCol w:w="2340"/>
        <w:gridCol w:w="2340"/>
      </w:tblGrid>
      <w:tr>
        <w:tc>
          <w:tcPr>
            <w:tcW w:type="dxa" w:w="2340"/>
            <w:shd w:fill="A8B89B" w:val="clear"/>
            <w:tcMar>
              <w:top w:type="dxa" w:w="480"/>
              <w:left w:type="dxa" w:w="80"/>
              <w:bottom w:type="dxa" w:w="480"/>
              <w:right w:type="dxa" w:w="80"/>
            </w:tcMar>
          </w:tcPr>
          <w:p/>
        </w:tc>
        <w:tc>
          <w:tcPr>
            <w:tcW w:type="dxa" w:w="2340"/>
            <w:shd w:fill="D4A89E" w:val="clear"/>
            <w:tcMar>
              <w:top w:type="dxa" w:w="480"/>
              <w:left w:type="dxa" w:w="80"/>
              <w:bottom w:type="dxa" w:w="480"/>
              <w:right w:type="dxa" w:w="80"/>
            </w:tcMar>
          </w:tcPr>
          <w:p/>
        </w:tc>
        <w:tc>
          <w:tcPr>
            <w:tcW w:type="dxa" w:w="2340"/>
            <w:shd w:fill="B8765E" w:val="clear"/>
            <w:tcMar>
              <w:top w:type="dxa" w:w="480"/>
              <w:left w:type="dxa" w:w="80"/>
              <w:bottom w:type="dxa" w:w="480"/>
              <w:right w:type="dxa" w:w="80"/>
            </w:tcMar>
          </w:tcPr>
          <w:p/>
        </w:tc>
        <w:tc>
          <w:tcPr>
            <w:tcW w:type="dxa" w:w="2340"/>
            <w:shd w:fill="E8B86A" w:val="clear"/>
            <w:tcMar>
              <w:top w:type="dxa" w:w="480"/>
              <w:left w:type="dxa" w:w="80"/>
              <w:bottom w:type="dxa" w:w="480"/>
              <w:right w:type="dxa" w:w="80"/>
            </w:tcMar>
          </w:tcPr>
          <w:p/>
        </w:tc>
      </w:tr>
      <w:tr>
        <w:tc>
          <w:tcPr>
            <w:tcW w:type="dxa" w:w="2340"/>
            <w:tcMar>
              <w:top w:type="dxa" w:w="80"/>
              <w:left w:type="dxa" w:w="80"/>
              <w:bottom w:type="dxa" w:w="40"/>
              <w:right w:type="dxa" w:w="80"/>
            </w:tcMar>
          </w:tcPr>
          <w:p>
            <w:r>
              <w:rPr>
                <w:rFonts w:ascii="Arial" w:cs="Arial" w:eastAsia="Arial" w:hAnsi="Arial"/>
                <w:b/>
                <w:bCs/>
                <w:color w:val="3B2F22"/>
                <w:sz w:val="20"/>
                <w:szCs w:val="20"/>
              </w:rPr>
              <w:t xml:space="preserve">Sage</w:t>
            </w:r>
          </w:p>
        </w:tc>
        <w:tc>
          <w:tcPr>
            <w:tcW w:type="dxa" w:w="2340"/>
            <w:tcMar>
              <w:top w:type="dxa" w:w="80"/>
              <w:left w:type="dxa" w:w="80"/>
              <w:bottom w:type="dxa" w:w="40"/>
              <w:right w:type="dxa" w:w="80"/>
            </w:tcMar>
          </w:tcPr>
          <w:p>
            <w:r>
              <w:rPr>
                <w:rFonts w:ascii="Arial" w:cs="Arial" w:eastAsia="Arial" w:hAnsi="Arial"/>
                <w:b/>
                <w:bCs/>
                <w:color w:val="3B2F22"/>
                <w:sz w:val="20"/>
                <w:szCs w:val="20"/>
              </w:rPr>
              <w:t xml:space="preserve">Rose</w:t>
            </w:r>
          </w:p>
        </w:tc>
        <w:tc>
          <w:tcPr>
            <w:tcW w:type="dxa" w:w="2340"/>
            <w:tcMar>
              <w:top w:type="dxa" w:w="80"/>
              <w:left w:type="dxa" w:w="80"/>
              <w:bottom w:type="dxa" w:w="40"/>
              <w:right w:type="dxa" w:w="80"/>
            </w:tcMar>
          </w:tcPr>
          <w:p>
            <w:r>
              <w:rPr>
                <w:rFonts w:ascii="Arial" w:cs="Arial" w:eastAsia="Arial" w:hAnsi="Arial"/>
                <w:b/>
                <w:bCs/>
                <w:color w:val="3B2F22"/>
                <w:sz w:val="20"/>
                <w:szCs w:val="20"/>
              </w:rPr>
              <w:t xml:space="preserve">Clay</w:t>
            </w:r>
          </w:p>
        </w:tc>
        <w:tc>
          <w:tcPr>
            <w:tcW w:type="dxa" w:w="2340"/>
            <w:tcMar>
              <w:top w:type="dxa" w:w="80"/>
              <w:left w:type="dxa" w:w="80"/>
              <w:bottom w:type="dxa" w:w="40"/>
              <w:right w:type="dxa" w:w="80"/>
            </w:tcMar>
          </w:tcPr>
          <w:p>
            <w:r>
              <w:rPr>
                <w:rFonts w:ascii="Arial" w:cs="Arial" w:eastAsia="Arial" w:hAnsi="Arial"/>
                <w:b/>
                <w:bCs/>
                <w:color w:val="3B2F22"/>
                <w:sz w:val="20"/>
                <w:szCs w:val="20"/>
              </w:rPr>
              <w:t xml:space="preserve">Honey</w:t>
            </w:r>
          </w:p>
        </w:tc>
      </w:tr>
      <w:tr>
        <w:tc>
          <w:tcPr>
            <w:tcW w:type="dxa" w:w="2340"/>
            <w:tcMar>
              <w:top w:type="dxa" w:w="0"/>
              <w:left w:type="dxa" w:w="80"/>
              <w:bottom w:type="dxa" w:w="60"/>
              <w:right w:type="dxa" w:w="80"/>
            </w:tcMar>
          </w:tcPr>
          <w:p>
            <w:r>
              <w:rPr>
                <w:rFonts w:ascii="Courier New" w:cs="Courier New" w:eastAsia="Courier New" w:hAnsi="Courier New"/>
                <w:color w:val="8A7B68"/>
                <w:sz w:val="18"/>
                <w:szCs w:val="18"/>
              </w:rPr>
              <w:t xml:space="preserve">#A8B89B</w:t>
            </w:r>
          </w:p>
        </w:tc>
        <w:tc>
          <w:tcPr>
            <w:tcW w:type="dxa" w:w="2340"/>
            <w:tcMar>
              <w:top w:type="dxa" w:w="0"/>
              <w:left w:type="dxa" w:w="80"/>
              <w:bottom w:type="dxa" w:w="60"/>
              <w:right w:type="dxa" w:w="80"/>
            </w:tcMar>
          </w:tcPr>
          <w:p>
            <w:r>
              <w:rPr>
                <w:rFonts w:ascii="Courier New" w:cs="Courier New" w:eastAsia="Courier New" w:hAnsi="Courier New"/>
                <w:color w:val="8A7B68"/>
                <w:sz w:val="18"/>
                <w:szCs w:val="18"/>
              </w:rPr>
              <w:t xml:space="preserve">#D4A89E</w:t>
            </w:r>
          </w:p>
        </w:tc>
        <w:tc>
          <w:tcPr>
            <w:tcW w:type="dxa" w:w="2340"/>
            <w:tcMar>
              <w:top w:type="dxa" w:w="0"/>
              <w:left w:type="dxa" w:w="80"/>
              <w:bottom w:type="dxa" w:w="60"/>
              <w:right w:type="dxa" w:w="80"/>
            </w:tcMar>
          </w:tcPr>
          <w:p>
            <w:r>
              <w:rPr>
                <w:rFonts w:ascii="Courier New" w:cs="Courier New" w:eastAsia="Courier New" w:hAnsi="Courier New"/>
                <w:color w:val="8A7B68"/>
                <w:sz w:val="18"/>
                <w:szCs w:val="18"/>
              </w:rPr>
              <w:t xml:space="preserve">#B8765E</w:t>
            </w:r>
          </w:p>
        </w:tc>
        <w:tc>
          <w:tcPr>
            <w:tcW w:type="dxa" w:w="2340"/>
            <w:tcMar>
              <w:top w:type="dxa" w:w="0"/>
              <w:left w:type="dxa" w:w="80"/>
              <w:bottom w:type="dxa" w:w="60"/>
              <w:right w:type="dxa" w:w="80"/>
            </w:tcMar>
          </w:tcPr>
          <w:p>
            <w:r>
              <w:rPr>
                <w:rFonts w:ascii="Courier New" w:cs="Courier New" w:eastAsia="Courier New" w:hAnsi="Courier New"/>
                <w:color w:val="8A7B68"/>
                <w:sz w:val="18"/>
                <w:szCs w:val="18"/>
              </w:rPr>
              <w:t xml:space="preserve">#E8B86A</w:t>
            </w:r>
          </w:p>
        </w:tc>
      </w:tr>
      <w:tr>
        <w:tc>
          <w:tcPr>
            <w:tcW w:type="dxa" w:w="2340"/>
            <w:tcMar>
              <w:top w:type="dxa" w:w="0"/>
              <w:left w:type="dxa" w:w="80"/>
              <w:bottom w:type="dxa" w:w="160"/>
              <w:right w:type="dxa" w:w="80"/>
            </w:tcMar>
          </w:tcPr>
          <w:p>
            <w:r>
              <w:rPr>
                <w:rFonts w:ascii="Arial" w:cs="Arial" w:eastAsia="Arial" w:hAnsi="Arial"/>
                <w:color w:val="6B5641"/>
                <w:sz w:val="18"/>
                <w:szCs w:val="18"/>
              </w:rPr>
              <w:t xml:space="preserve">positive / on track</w:t>
            </w:r>
          </w:p>
        </w:tc>
        <w:tc>
          <w:tcPr>
            <w:tcW w:type="dxa" w:w="2340"/>
            <w:tcMar>
              <w:top w:type="dxa" w:w="0"/>
              <w:left w:type="dxa" w:w="80"/>
              <w:bottom w:type="dxa" w:w="160"/>
              <w:right w:type="dxa" w:w="80"/>
            </w:tcMar>
          </w:tcPr>
          <w:p>
            <w:r>
              <w:rPr>
                <w:rFonts w:ascii="Arial" w:cs="Arial" w:eastAsia="Arial" w:hAnsi="Arial"/>
                <w:color w:val="6B5641"/>
                <w:sz w:val="18"/>
                <w:szCs w:val="18"/>
              </w:rPr>
              <w:t xml:space="preserve">cycle / luteal</w:t>
            </w:r>
          </w:p>
        </w:tc>
        <w:tc>
          <w:tcPr>
            <w:tcW w:type="dxa" w:w="2340"/>
            <w:tcMar>
              <w:top w:type="dxa" w:w="0"/>
              <w:left w:type="dxa" w:w="80"/>
              <w:bottom w:type="dxa" w:w="160"/>
              <w:right w:type="dxa" w:w="80"/>
            </w:tcMar>
          </w:tcPr>
          <w:p>
            <w:r>
              <w:rPr>
                <w:rFonts w:ascii="Arial" w:cs="Arial" w:eastAsia="Arial" w:hAnsi="Arial"/>
                <w:color w:val="6B5641"/>
                <w:sz w:val="18"/>
                <w:szCs w:val="18"/>
              </w:rPr>
              <w:t xml:space="preserve">gentle alert</w:t>
            </w:r>
          </w:p>
        </w:tc>
        <w:tc>
          <w:tcPr>
            <w:tcW w:type="dxa" w:w="2340"/>
            <w:tcMar>
              <w:top w:type="dxa" w:w="0"/>
              <w:left w:type="dxa" w:w="80"/>
              <w:bottom w:type="dxa" w:w="160"/>
              <w:right w:type="dxa" w:w="80"/>
            </w:tcMar>
          </w:tcPr>
          <w:p>
            <w:r>
              <w:rPr>
                <w:rFonts w:ascii="Arial" w:cs="Arial" w:eastAsia="Arial" w:hAnsi="Arial"/>
                <w:color w:val="6B5641"/>
                <w:sz w:val="18"/>
                <w:szCs w:val="18"/>
              </w:rPr>
              <w:t xml:space="preserve">celebration only</w:t>
            </w:r>
          </w:p>
        </w:tc>
      </w:tr>
    </w:tbl>
    <w:p>
      <w:pPr>
        <w:spacing w:after="80" w:before="160"/>
      </w:pPr>
      <w:r>
        <w:rPr>
          <w:rFonts w:ascii="Arial" w:cs="Arial" w:eastAsia="Arial" w:hAnsi="Arial"/>
          <w:b/>
          <w:bCs/>
          <w:color w:val="8A7B68"/>
          <w:spacing w:val="60"/>
          <w:sz w:val="16"/>
          <w:szCs w:val="16"/>
        </w:rPr>
        <w:t xml:space="preserve">RULES OF USE</w:t>
      </w:r>
    </w:p>
    <w:p>
      <w:pPr>
        <w:pStyle w:val="ListParagraph"/>
        <w:numPr>
          <w:ilvl w:val="0"/>
          <w:numId w:val="2"/>
        </w:numPr>
        <w:spacing w:after="80"/>
      </w:pPr>
      <w:r>
        <w:rPr>
          <w:rFonts w:ascii="Arial" w:cs="Arial" w:eastAsia="Arial" w:hAnsi="Arial"/>
          <w:color w:val="3B2F22"/>
          <w:sz w:val="22"/>
          <w:szCs w:val="22"/>
        </w:rPr>
        <w:t xml:space="preserve">Glaze and Cream do 80% of the visual work. Vapor is the primary accent — use sparingly, like a piece of jewelry.</w:t>
      </w:r>
    </w:p>
    <w:p>
      <w:pPr>
        <w:pStyle w:val="ListParagraph"/>
        <w:numPr>
          <w:ilvl w:val="0"/>
          <w:numId w:val="2"/>
        </w:numPr>
        <w:spacing w:after="80"/>
      </w:pPr>
      <w:r>
        <w:rPr>
          <w:rFonts w:ascii="Arial" w:cs="Arial" w:eastAsia="Arial" w:hAnsi="Arial"/>
          <w:color w:val="3B2F22"/>
          <w:sz w:val="22"/>
          <w:szCs w:val="22"/>
        </w:rPr>
        <w:t xml:space="preserve">Honey was the primary signature in v1.0 and has been demoted to a Signal-tier color, reserved for celebration moments only (milestones reached softly, never as streaks). One Honey moment per session, maximum.</w:t>
      </w:r>
    </w:p>
    <w:p>
      <w:pPr>
        <w:pStyle w:val="ListParagraph"/>
        <w:numPr>
          <w:ilvl w:val="0"/>
          <w:numId w:val="2"/>
        </w:numPr>
        <w:spacing w:after="80"/>
      </w:pPr>
      <w:r>
        <w:rPr>
          <w:rFonts w:ascii="Arial" w:cs="Arial" w:eastAsia="Arial" w:hAnsi="Arial"/>
          <w:color w:val="3B2F22"/>
          <w:sz w:val="22"/>
          <w:szCs w:val="22"/>
        </w:rPr>
        <w:t xml:space="preserve">Never put two Signal colors adjacent to each other. They are functional, not decorative.</w:t>
      </w:r>
    </w:p>
    <w:p>
      <w:pPr>
        <w:pStyle w:val="ListParagraph"/>
        <w:numPr>
          <w:ilvl w:val="0"/>
          <w:numId w:val="2"/>
        </w:numPr>
        <w:spacing w:after="80"/>
      </w:pPr>
      <w:r>
        <w:rPr>
          <w:rFonts w:ascii="Arial" w:cs="Arial" w:eastAsia="Arial" w:hAnsi="Arial"/>
          <w:color w:val="3B2F22"/>
          <w:sz w:val="22"/>
          <w:szCs w:val="22"/>
        </w:rPr>
        <w:t xml:space="preserve">Espresso is the only allowed text-on-light color for body. Cocoa for secondary, Taupe for metadata.</w:t>
      </w:r>
    </w:p>
    <w:p>
      <w:pPr>
        <w:pStyle w:val="ListParagraph"/>
        <w:numPr>
          <w:ilvl w:val="0"/>
          <w:numId w:val="2"/>
        </w:numPr>
        <w:spacing w:after="80"/>
      </w:pPr>
      <w:r>
        <w:rPr>
          <w:rFonts w:ascii="Arial" w:cs="Arial" w:eastAsia="Arial" w:hAnsi="Arial"/>
          <w:color w:val="3B2F22"/>
          <w:sz w:val="22"/>
          <w:szCs w:val="22"/>
        </w:rPr>
        <w:t xml:space="preserve">Avoid pure black (#000) and pure white (#FFF). They flatten the brand into something colder than it is.</w:t>
      </w:r>
    </w:p>
    <w:p>
      <w:r>
        <w:br w:type="page"/>
      </w:r>
    </w:p>
    <w:p>
      <w:pPr>
        <w:pStyle w:val="Heading1"/>
        <w:spacing w:after="160" w:before="320"/>
      </w:pPr>
      <w:r>
        <w:rPr>
          <w:rFonts w:ascii="Arial" w:cs="Arial" w:eastAsia="Arial" w:hAnsi="Arial"/>
          <w:b/>
          <w:bCs/>
          <w:color w:val="3B2F22"/>
          <w:spacing w:val="-20"/>
          <w:sz w:val="44"/>
          <w:szCs w:val="44"/>
        </w:rPr>
        <w:t xml:space="preserve">04.  Typography</w:t>
      </w:r>
    </w:p>
    <w:p>
      <w:pPr>
        <w:pBdr>
          <w:bottom w:val="single" w:color="C8A989" w:sz="4" w:space="1"/>
        </w:pBdr>
        <w:spacing w:after="200" w:before="60"/>
      </w:pPr>
    </w:p>
    <w:p>
      <w:pPr>
        <w:spacing w:after="80" w:before="160"/>
      </w:pPr>
      <w:r>
        <w:rPr>
          <w:rFonts w:ascii="Arial" w:cs="Arial" w:eastAsia="Arial" w:hAnsi="Arial"/>
          <w:b/>
          <w:bCs/>
          <w:color w:val="8A7B68"/>
          <w:spacing w:val="60"/>
          <w:sz w:val="16"/>
          <w:szCs w:val="16"/>
        </w:rPr>
        <w:t xml:space="preserve">DISPLAY — BOLD SANS</w:t>
      </w:r>
    </w:p>
    <w:p>
      <w:pPr>
        <w:spacing w:after="80"/>
      </w:pPr>
      <w:r>
        <w:rPr>
          <w:rFonts w:ascii="Arial" w:cs="Arial" w:eastAsia="Arial" w:hAnsi="Arial"/>
          <w:b/>
          <w:bCs/>
          <w:color w:val="3B2F22"/>
          <w:spacing w:val="-30"/>
          <w:sz w:val="60"/>
          <w:szCs w:val="60"/>
        </w:rPr>
        <w:t xml:space="preserve">You’re peaking, softly.</w:t>
      </w:r>
    </w:p>
    <w:p>
      <w:pPr>
        <w:spacing w:after="120"/>
      </w:pPr>
      <w:r>
        <w:rPr>
          <w:rFonts w:ascii="Arial" w:cs="Arial" w:eastAsia="Arial" w:hAnsi="Arial"/>
          <w:color w:val="3B2F22"/>
          <w:sz w:val="22"/>
          <w:szCs w:val="22"/>
        </w:rPr>
        <w:t xml:space="preserve">Production face: PP Neue Montreal Bold (preferred, Pangram Pangram, commercial). Free analog: Manrope 700. System fallback: Helvetica Neue Bold / Arial Bold. Used for the wordmark, hero headlines, Coach quotes, and large numbers. Always sentence case or lowercase. The whole brand sits in this one face — there is no italic serif anywhere, and no register switching between editorial and UI.</w:t>
      </w:r>
    </w:p>
    <w:p>
      <w:pPr>
        <w:spacing w:after="80" w:before="160"/>
      </w:pPr>
      <w:r>
        <w:rPr>
          <w:rFonts w:ascii="Arial" w:cs="Arial" w:eastAsia="Arial" w:hAnsi="Arial"/>
          <w:b/>
          <w:bCs/>
          <w:color w:val="8A7B68"/>
          <w:spacing w:val="60"/>
          <w:sz w:val="16"/>
          <w:szCs w:val="16"/>
        </w:rPr>
        <w:t xml:space="preserve">BODY — SAME SANS, LIGHTER WEIGHT</w:t>
      </w:r>
    </w:p>
    <w:p>
      <w:pPr>
        <w:spacing w:after="80"/>
      </w:pPr>
      <w:r>
        <w:rPr>
          <w:rFonts w:ascii="Arial" w:cs="Arial" w:eastAsia="Arial" w:hAnsi="Arial"/>
          <w:color w:val="3B2F22"/>
          <w:sz w:val="24"/>
          <w:szCs w:val="24"/>
        </w:rPr>
        <w:t xml:space="preserve">Your luteal phase begins tomorrow. Protein and sleep matter more this week.</w:t>
      </w:r>
    </w:p>
    <w:p>
      <w:pPr>
        <w:spacing w:after="120"/>
      </w:pPr>
      <w:r>
        <w:rPr>
          <w:rFonts w:ascii="Arial" w:cs="Arial" w:eastAsia="Arial" w:hAnsi="Arial"/>
          <w:color w:val="3B2F22"/>
          <w:sz w:val="22"/>
          <w:szCs w:val="22"/>
        </w:rPr>
        <w:t xml:space="preserve">Same family (Manrope / PP Neue Montreal) at lighter weights. Body and UI copy: Regular (400). List items, semantic emphasis, data labels: Medium (500) and Semibold (600). Headers and large numbers: Bold (700). No italic at any weight.</w:t>
      </w:r>
    </w:p>
    <w:p>
      <w:pPr>
        <w:spacing w:after="80" w:before="160"/>
      </w:pPr>
      <w:r>
        <w:rPr>
          <w:rFonts w:ascii="Arial" w:cs="Arial" w:eastAsia="Arial" w:hAnsi="Arial"/>
          <w:b/>
          <w:bCs/>
          <w:color w:val="8A7B68"/>
          <w:spacing w:val="60"/>
          <w:sz w:val="16"/>
          <w:szCs w:val="16"/>
        </w:rPr>
        <w:t xml:space="preserve">LABEL — TRACKED UPPERCASE</w:t>
      </w:r>
    </w:p>
    <w:p>
      <w:pPr>
        <w:spacing w:after="80"/>
      </w:pPr>
      <w:r>
        <w:rPr>
          <w:rFonts w:ascii="Arial" w:cs="Arial" w:eastAsia="Arial" w:hAnsi="Arial"/>
          <w:b/>
          <w:bCs/>
          <w:color w:val="8A7B68"/>
          <w:spacing w:val="120"/>
          <w:sz w:val="18"/>
          <w:szCs w:val="18"/>
        </w:rPr>
        <w:t xml:space="preserve">TODAY · CYCLE DAY 14</w:t>
      </w:r>
    </w:p>
    <w:p>
      <w:pPr>
        <w:spacing w:after="120"/>
      </w:pPr>
      <w:r>
        <w:rPr>
          <w:rFonts w:ascii="Arial" w:cs="Arial" w:eastAsia="Arial" w:hAnsi="Arial"/>
          <w:color w:val="3B2F22"/>
          <w:sz w:val="22"/>
          <w:szCs w:val="22"/>
        </w:rPr>
        <w:t xml:space="preserve">Same family, weight 500–600, tracked +120 to +200. Reserved for tiny metadata strings, section headers, and button labels (uppercase tracked is the brand’s button treatment, matching the Rhode pattern).</w:t>
      </w:r>
    </w:p>
    <w:p>
      <w:pPr>
        <w:spacing w:after="80" w:before="160"/>
      </w:pPr>
      <w:r>
        <w:rPr>
          <w:rFonts w:ascii="Arial" w:cs="Arial" w:eastAsia="Arial" w:hAnsi="Arial"/>
          <w:b/>
          <w:bCs/>
          <w:color w:val="8A7B68"/>
          <w:spacing w:val="60"/>
          <w:sz w:val="16"/>
          <w:szCs w:val="16"/>
        </w:rPr>
        <w:t xml:space="preserve">HIERARCHY RATIOS</w:t>
      </w:r>
    </w:p>
    <w:p>
      <w:pPr>
        <w:pStyle w:val="ListParagraph"/>
        <w:numPr>
          <w:ilvl w:val="0"/>
          <w:numId w:val="2"/>
        </w:numPr>
        <w:spacing w:after="80"/>
      </w:pPr>
      <w:r>
        <w:rPr>
          <w:rFonts w:ascii="Arial" w:cs="Arial" w:eastAsia="Arial" w:hAnsi="Arial"/>
          <w:color w:val="3B2F22"/>
          <w:sz w:val="22"/>
          <w:szCs w:val="22"/>
        </w:rPr>
        <w:t xml:space="preserve">Page header (lowercase, e.g. "food", "cycle"): bold sans 700, 36–38pt, tracking −1.5</w:t>
      </w:r>
    </w:p>
    <w:p>
      <w:pPr>
        <w:pStyle w:val="ListParagraph"/>
        <w:numPr>
          <w:ilvl w:val="0"/>
          <w:numId w:val="2"/>
        </w:numPr>
        <w:spacing w:after="80"/>
      </w:pPr>
      <w:r>
        <w:rPr>
          <w:rFonts w:ascii="Arial" w:cs="Arial" w:eastAsia="Arial" w:hAnsi="Arial"/>
          <w:color w:val="3B2F22"/>
          <w:sz w:val="22"/>
          <w:szCs w:val="22"/>
        </w:rPr>
        <w:t xml:space="preserve">Hero headline (sentence case): bold sans 600–700, 26–32pt, tracking −1</w:t>
      </w:r>
    </w:p>
    <w:p>
      <w:pPr>
        <w:pStyle w:val="ListParagraph"/>
        <w:numPr>
          <w:ilvl w:val="0"/>
          <w:numId w:val="2"/>
        </w:numPr>
        <w:spacing w:after="80"/>
      </w:pPr>
      <w:r>
        <w:rPr>
          <w:rFonts w:ascii="Arial" w:cs="Arial" w:eastAsia="Arial" w:hAnsi="Arial"/>
          <w:color w:val="3B2F22"/>
          <w:sz w:val="22"/>
          <w:szCs w:val="22"/>
        </w:rPr>
        <w:t xml:space="preserve">Body: sans regular 400, 15–16pt</w:t>
      </w:r>
    </w:p>
    <w:p>
      <w:pPr>
        <w:pStyle w:val="ListParagraph"/>
        <w:numPr>
          <w:ilvl w:val="0"/>
          <w:numId w:val="2"/>
        </w:numPr>
        <w:spacing w:after="80"/>
      </w:pPr>
      <w:r>
        <w:rPr>
          <w:rFonts w:ascii="Arial" w:cs="Arial" w:eastAsia="Arial" w:hAnsi="Arial"/>
          <w:color w:val="3B2F22"/>
          <w:sz w:val="22"/>
          <w:szCs w:val="22"/>
        </w:rPr>
        <w:t xml:space="preserve">List item names, data labels: sans 500–600, 12–14pt</w:t>
      </w:r>
    </w:p>
    <w:p>
      <w:pPr>
        <w:pStyle w:val="ListParagraph"/>
        <w:numPr>
          <w:ilvl w:val="0"/>
          <w:numId w:val="2"/>
        </w:numPr>
        <w:spacing w:after="80"/>
      </w:pPr>
      <w:r>
        <w:rPr>
          <w:rFonts w:ascii="Arial" w:cs="Arial" w:eastAsia="Arial" w:hAnsi="Arial"/>
          <w:color w:val="3B2F22"/>
          <w:sz w:val="22"/>
          <w:szCs w:val="22"/>
        </w:rPr>
        <w:t xml:space="preserve">Tracked label: sans 500–600, 9–11pt, tracking +150</w:t>
      </w:r>
    </w:p>
    <w:p>
      <w:pPr>
        <w:pStyle w:val="ListParagraph"/>
        <w:numPr>
          <w:ilvl w:val="0"/>
          <w:numId w:val="2"/>
        </w:numPr>
        <w:spacing w:after="80"/>
      </w:pPr>
      <w:r>
        <w:rPr>
          <w:rFonts w:ascii="Arial" w:cs="Arial" w:eastAsia="Arial" w:hAnsi="Arial"/>
          <w:color w:val="3B2F22"/>
          <w:sz w:val="22"/>
          <w:szCs w:val="22"/>
        </w:rPr>
        <w:t xml:space="preserve">Numbers (data, big): sans bold 700, sized to context. Numbers (inline, list values): sans 600.</w:t>
      </w:r>
    </w:p>
    <w:p>
      <w:r>
        <w:br w:type="page"/>
      </w:r>
    </w:p>
    <w:p>
      <w:pPr>
        <w:pStyle w:val="Heading1"/>
        <w:spacing w:after="160" w:before="320"/>
      </w:pPr>
      <w:r>
        <w:rPr>
          <w:rFonts w:ascii="Arial" w:cs="Arial" w:eastAsia="Arial" w:hAnsi="Arial"/>
          <w:b/>
          <w:bCs/>
          <w:color w:val="3B2F22"/>
          <w:spacing w:val="-20"/>
          <w:sz w:val="44"/>
          <w:szCs w:val="44"/>
        </w:rPr>
        <w:t xml:space="preserve">05.  Logo system</w:t>
      </w:r>
    </w:p>
    <w:p>
      <w:pPr>
        <w:pBdr>
          <w:bottom w:val="single" w:color="C8A989" w:sz="4" w:space="1"/>
        </w:pBdr>
        <w:spacing w:after="200" w:before="60"/>
      </w:pPr>
    </w:p>
    <w:p>
      <w:pPr>
        <w:spacing w:after="80" w:before="160"/>
      </w:pPr>
      <w:r>
        <w:rPr>
          <w:rFonts w:ascii="Arial" w:cs="Arial" w:eastAsia="Arial" w:hAnsi="Arial"/>
          <w:b/>
          <w:bCs/>
          <w:color w:val="8A7B68"/>
          <w:spacing w:val="60"/>
          <w:sz w:val="16"/>
          <w:szCs w:val="16"/>
        </w:rPr>
        <w:t xml:space="preserve">PRIMARY WORDMARK</w:t>
      </w:r>
    </w:p>
    <w:p>
      <w:pPr>
        <w:spacing w:after="80"/>
      </w:pPr>
      <w:r>
        <w:rPr>
          <w:rFonts w:ascii="Arial" w:cs="Arial" w:eastAsia="Arial" w:hAnsi="Arial"/>
          <w:b/>
          <w:bCs/>
          <w:color w:val="3B2F22"/>
          <w:spacing w:val="-30"/>
          <w:sz w:val="120"/>
          <w:szCs w:val="120"/>
        </w:rPr>
        <w:t xml:space="preserve">wren</w:t>
      </w:r>
    </w:p>
    <w:p>
      <w:pPr>
        <w:spacing w:after="120"/>
      </w:pPr>
      <w:r>
        <w:rPr>
          <w:rFonts w:ascii="Arial" w:cs="Arial" w:eastAsia="Arial" w:hAnsi="Arial"/>
          <w:color w:val="3B2F22"/>
          <w:sz w:val="22"/>
          <w:szCs w:val="22"/>
        </w:rPr>
        <w:t xml:space="preserve">Lowercase bold sans-serif. Always lowercase. Always bold (weight 700). Never set in caps, never set in italic. Set in Espresso on light surfaces (including Vapor); set in Glaze/Cream on Espresso dark surfaces. The optional tagline "A SOFTER SCIENCE" sits below in tracked sans at 11pt, color Taupe.</w:t>
      </w:r>
    </w:p>
    <w:p>
      <w:pPr>
        <w:spacing w:after="80" w:before="160"/>
      </w:pPr>
      <w:r>
        <w:rPr>
          <w:rFonts w:ascii="Arial" w:cs="Arial" w:eastAsia="Arial" w:hAnsi="Arial"/>
          <w:b/>
          <w:bCs/>
          <w:color w:val="8A7B68"/>
          <w:spacing w:val="60"/>
          <w:sz w:val="16"/>
          <w:szCs w:val="16"/>
        </w:rPr>
        <w:t xml:space="preserve">APP ICON — FULL WORDMARK LOCKUP</w:t>
      </w:r>
    </w:p>
    <w:p>
      <w:pPr>
        <w:spacing w:after="120"/>
      </w:pPr>
      <w:r>
        <w:rPr>
          <w:rFonts w:ascii="Arial" w:cs="Arial" w:eastAsia="Arial" w:hAnsi="Arial"/>
          <w:color w:val="3B2F22"/>
          <w:sz w:val="22"/>
          <w:szCs w:val="22"/>
        </w:rPr>
        <w:t xml:space="preserve">The full wordmark "wren" set in Espresso italic serif, centered on a Vapor-filled rounded square (corner radius = 22% of side). This is the single approved app-icon treatment. A single-letter monogram was tested and retired: italic-serif single letters on colored squares carry strong existing associations from other brands (the Walgreens "W" being the clearest collision). The full wordmark removes that risk and reads with more confidence at icon size. Vapor as the icon ground — rather than the original Honey — places the icon visually adjacent to brands like Aēsop, Linear, and Notion: pale, considered, designed-object, easier to read on a busy home screen than a high-chroma square.</w:t>
      </w:r>
    </w:p>
    <w:p>
      <w:pPr>
        <w:spacing w:after="80" w:before="160"/>
      </w:pPr>
      <w:r>
        <w:rPr>
          <w:rFonts w:ascii="Arial" w:cs="Arial" w:eastAsia="Arial" w:hAnsi="Arial"/>
          <w:b/>
          <w:bCs/>
          <w:color w:val="8A7B68"/>
          <w:spacing w:val="60"/>
          <w:sz w:val="16"/>
          <w:szCs w:val="16"/>
        </w:rPr>
        <w:t xml:space="preserve">SYMBOL MARK</w:t>
      </w:r>
    </w:p>
    <w:p>
      <w:pPr>
        <w:spacing w:after="120"/>
      </w:pPr>
      <w:r>
        <w:rPr>
          <w:rFonts w:ascii="Arial" w:cs="Arial" w:eastAsia="Arial" w:hAnsi="Arial"/>
          <w:color w:val="3B2F22"/>
          <w:sz w:val="22"/>
          <w:szCs w:val="22"/>
        </w:rPr>
        <w:t xml:space="preserve">A soft teardrop-comma form derived from the terminal of an italic serif letterform. Used at small sizes (favicon, watermark, profile avatar) where the full wordmark becomes illegible. Never paired adjacent to the wordmark — use one or the other, not both.</w:t>
      </w:r>
    </w:p>
    <w:p>
      <w:pPr>
        <w:spacing w:after="80" w:before="160"/>
      </w:pPr>
      <w:r>
        <w:rPr>
          <w:rFonts w:ascii="Arial" w:cs="Arial" w:eastAsia="Arial" w:hAnsi="Arial"/>
          <w:b/>
          <w:bCs/>
          <w:color w:val="8A7B68"/>
          <w:spacing w:val="60"/>
          <w:sz w:val="16"/>
          <w:szCs w:val="16"/>
        </w:rPr>
        <w:t xml:space="preserve">SPACING &amp; SIZING</w:t>
      </w:r>
    </w:p>
    <w:p>
      <w:pPr>
        <w:pStyle w:val="ListParagraph"/>
        <w:numPr>
          <w:ilvl w:val="0"/>
          <w:numId w:val="2"/>
        </w:numPr>
        <w:spacing w:after="80"/>
      </w:pPr>
      <w:r>
        <w:rPr>
          <w:rFonts w:ascii="Arial" w:cs="Arial" w:eastAsia="Arial" w:hAnsi="Arial"/>
          <w:color w:val="3B2F22"/>
          <w:sz w:val="22"/>
          <w:szCs w:val="22"/>
        </w:rPr>
        <w:t xml:space="preserve">Minimum clear space around the wordmark: equal to the x-height of the leading "w."</w:t>
      </w:r>
    </w:p>
    <w:p>
      <w:pPr>
        <w:pStyle w:val="ListParagraph"/>
        <w:numPr>
          <w:ilvl w:val="0"/>
          <w:numId w:val="2"/>
        </w:numPr>
        <w:spacing w:after="80"/>
      </w:pPr>
      <w:r>
        <w:rPr>
          <w:rFonts w:ascii="Arial" w:cs="Arial" w:eastAsia="Arial" w:hAnsi="Arial"/>
          <w:color w:val="3B2F22"/>
          <w:sz w:val="22"/>
          <w:szCs w:val="22"/>
        </w:rPr>
        <w:t xml:space="preserve">Minimum legible size: wordmark 18pt; app icon 24x24px; symbol 12x12px.</w:t>
      </w:r>
    </w:p>
    <w:p>
      <w:pPr>
        <w:pStyle w:val="ListParagraph"/>
        <w:numPr>
          <w:ilvl w:val="0"/>
          <w:numId w:val="2"/>
        </w:numPr>
        <w:spacing w:after="80"/>
      </w:pPr>
      <w:r>
        <w:rPr>
          <w:rFonts w:ascii="Arial" w:cs="Arial" w:eastAsia="Arial" w:hAnsi="Arial"/>
          <w:color w:val="3B2F22"/>
          <w:sz w:val="22"/>
          <w:szCs w:val="22"/>
        </w:rPr>
        <w:t xml:space="preserve">Never stretch, skew, outline, drop-shadow, or place on busy photography.</w:t>
      </w:r>
    </w:p>
    <w:p>
      <w:pPr>
        <w:pStyle w:val="ListParagraph"/>
        <w:numPr>
          <w:ilvl w:val="0"/>
          <w:numId w:val="2"/>
        </w:numPr>
        <w:spacing w:after="80"/>
      </w:pPr>
      <w:r>
        <w:rPr>
          <w:rFonts w:ascii="Arial" w:cs="Arial" w:eastAsia="Arial" w:hAnsi="Arial"/>
          <w:color w:val="3B2F22"/>
          <w:sz w:val="22"/>
          <w:szCs w:val="22"/>
        </w:rPr>
        <w:t xml:space="preserve">Never recreate the wordmark in another typeface, even temporarily.</w:t>
      </w:r>
    </w:p>
    <w:p>
      <w:r>
        <w:br w:type="page"/>
      </w:r>
    </w:p>
    <w:p>
      <w:pPr>
        <w:pStyle w:val="Heading1"/>
        <w:spacing w:after="160" w:before="320"/>
      </w:pPr>
      <w:r>
        <w:rPr>
          <w:rFonts w:ascii="Arial" w:cs="Arial" w:eastAsia="Arial" w:hAnsi="Arial"/>
          <w:b/>
          <w:bCs/>
          <w:color w:val="3B2F22"/>
          <w:spacing w:val="-20"/>
          <w:sz w:val="44"/>
          <w:szCs w:val="44"/>
        </w:rPr>
        <w:t xml:space="preserve">06.  Voice &amp; tone</w:t>
      </w:r>
    </w:p>
    <w:p>
      <w:pPr>
        <w:pBdr>
          <w:bottom w:val="single" w:color="C8A989" w:sz="4" w:space="1"/>
        </w:pBdr>
        <w:spacing w:after="200" w:before="60"/>
      </w:pPr>
    </w:p>
    <w:p>
      <w:pPr>
        <w:spacing w:after="120"/>
      </w:pPr>
      <w:r>
        <w:rPr>
          <w:rFonts w:ascii="Arial" w:cs="Arial" w:eastAsia="Arial" w:hAnsi="Arial"/>
          <w:color w:val="3B2F22"/>
          <w:sz w:val="22"/>
          <w:szCs w:val="22"/>
        </w:rPr>
        <w:t xml:space="preserve">Wren is a knowledgeable friend, not an authority figure. It speaks in full sentences. It uses italics in its writing the way a person uses italics when speaking softly. It is not afraid of stillness — if there is nothing useful to say today, the Coach says nothing.</w:t>
      </w:r>
    </w:p>
    <w:p>
      <w:pPr>
        <w:spacing w:after="80" w:before="160"/>
      </w:pPr>
      <w:r>
        <w:rPr>
          <w:rFonts w:ascii="Arial" w:cs="Arial" w:eastAsia="Arial" w:hAnsi="Arial"/>
          <w:b/>
          <w:bCs/>
          <w:color w:val="8A7B68"/>
          <w:spacing w:val="60"/>
          <w:sz w:val="16"/>
          <w:szCs w:val="16"/>
        </w:rPr>
        <w:t xml:space="preserve">DO</w:t>
      </w:r>
    </w:p>
    <w:p>
      <w:pPr>
        <w:spacing w:after="100"/>
        <w:ind w:left="360"/>
      </w:pPr>
      <w:r>
        <w:rPr>
          <w:rFonts w:ascii="Arial" w:cs="Arial" w:eastAsia="Arial" w:hAnsi="Arial"/>
          <w:color w:val="3B2F22"/>
          <w:sz w:val="22"/>
          <w:szCs w:val="22"/>
        </w:rPr>
        <w:t xml:space="preserve">"Energy’s lower this week. That’s the phase, not you."</w:t>
      </w:r>
    </w:p>
    <w:p>
      <w:pPr>
        <w:spacing w:after="100"/>
        <w:ind w:left="360"/>
      </w:pPr>
      <w:r>
        <w:rPr>
          <w:rFonts w:ascii="Arial" w:cs="Arial" w:eastAsia="Arial" w:hAnsi="Arial"/>
          <w:color w:val="3B2F22"/>
          <w:sz w:val="22"/>
          <w:szCs w:val="22"/>
        </w:rPr>
        <w:t xml:space="preserve">"You logged less protein today — want a soft idea for dinner?"</w:t>
      </w:r>
    </w:p>
    <w:p>
      <w:pPr>
        <w:spacing w:after="100"/>
        <w:ind w:left="360"/>
      </w:pPr>
      <w:r>
        <w:rPr>
          <w:rFonts w:ascii="Arial" w:cs="Arial" w:eastAsia="Arial" w:hAnsi="Arial"/>
          <w:color w:val="3B2F22"/>
          <w:sz w:val="22"/>
          <w:szCs w:val="22"/>
        </w:rPr>
        <w:t xml:space="preserve">"Your sleep dipped last night. Want to move it to tomorrow?"</w:t>
      </w:r>
    </w:p>
    <w:p>
      <w:pPr>
        <w:spacing w:after="100"/>
        <w:ind w:left="360"/>
      </w:pPr>
      <w:r>
        <w:rPr>
          <w:rFonts w:ascii="Arial" w:cs="Arial" w:eastAsia="Arial" w:hAnsi="Arial"/>
          <w:color w:val="3B2F22"/>
          <w:sz w:val="22"/>
          <w:szCs w:val="22"/>
        </w:rPr>
        <w:t xml:space="preserve">"Your sleep dipped two nights running. Take the long walk instead of the run?"</w:t>
      </w:r>
    </w:p>
    <w:p>
      <w:pPr>
        <w:spacing w:after="80" w:before="160"/>
      </w:pPr>
      <w:r>
        <w:rPr>
          <w:rFonts w:ascii="Arial" w:cs="Arial" w:eastAsia="Arial" w:hAnsi="Arial"/>
          <w:b/>
          <w:bCs/>
          <w:color w:val="8A7B68"/>
          <w:spacing w:val="60"/>
          <w:sz w:val="16"/>
          <w:szCs w:val="16"/>
        </w:rPr>
        <w:t xml:space="preserve">DON’T</w:t>
      </w:r>
    </w:p>
    <w:p>
      <w:pPr>
        <w:spacing w:after="100"/>
        <w:ind w:left="360"/>
      </w:pPr>
      <w:r>
        <w:rPr>
          <w:rFonts w:ascii="Arial" w:cs="Arial" w:eastAsia="Arial" w:hAnsi="Arial"/>
          <w:strike/>
          <w:color w:val="8A7B68"/>
          <w:sz w:val="22"/>
          <w:szCs w:val="22"/>
        </w:rPr>
        <w:t xml:space="preserve">"You’re 200 calories under goal. Hit it!"</w:t>
      </w:r>
    </w:p>
    <w:p>
      <w:pPr>
        <w:spacing w:after="100"/>
        <w:ind w:left="360"/>
      </w:pPr>
      <w:r>
        <w:rPr>
          <w:rFonts w:ascii="Arial" w:cs="Arial" w:eastAsia="Arial" w:hAnsi="Arial"/>
          <w:strike/>
          <w:color w:val="8A7B68"/>
          <w:sz w:val="22"/>
          <w:szCs w:val="22"/>
        </w:rPr>
        <w:t xml:space="preserve">"Recovery: 42%. Train at reduced intensity."</w:t>
      </w:r>
    </w:p>
    <w:p>
      <w:pPr>
        <w:spacing w:after="80" w:before="160"/>
      </w:pPr>
      <w:r>
        <w:rPr>
          <w:rFonts w:ascii="Arial" w:cs="Arial" w:eastAsia="Arial" w:hAnsi="Arial"/>
          <w:b/>
          <w:bCs/>
          <w:color w:val="8A7B68"/>
          <w:spacing w:val="60"/>
          <w:sz w:val="16"/>
          <w:szCs w:val="16"/>
        </w:rPr>
        <w:t xml:space="preserve">HOW COACH SIGNS OFF</w:t>
      </w:r>
    </w:p>
    <w:p>
      <w:pPr>
        <w:spacing w:after="120"/>
      </w:pPr>
      <w:r>
        <w:rPr>
          <w:rFonts w:ascii="Arial" w:cs="Arial" w:eastAsia="Arial" w:hAnsi="Arial"/>
          <w:color w:val="3B2F22"/>
          <w:sz w:val="22"/>
          <w:szCs w:val="22"/>
        </w:rPr>
        <w:t xml:space="preserve">Coach messages are signed with a small italic "— wren coach" and a timestamp in Taupe. Coach never uses the user’s name in alarms or warnings. Coach never says "I" — it speaks as a perspective, not a personality.</w:t>
      </w:r>
    </w:p>
    <w:p>
      <w:r>
        <w:br w:type="page"/>
      </w:r>
    </w:p>
    <w:p>
      <w:pPr>
        <w:pStyle w:val="Heading1"/>
        <w:spacing w:after="160" w:before="320"/>
      </w:pPr>
      <w:r>
        <w:rPr>
          <w:rFonts w:ascii="Arial" w:cs="Arial" w:eastAsia="Arial" w:hAnsi="Arial"/>
          <w:b/>
          <w:bCs/>
          <w:color w:val="3B2F22"/>
          <w:spacing w:val="-20"/>
          <w:sz w:val="44"/>
          <w:szCs w:val="44"/>
        </w:rPr>
        <w:t xml:space="preserve">07.  UI principles</w:t>
      </w:r>
    </w:p>
    <w:p>
      <w:pPr>
        <w:pBdr>
          <w:bottom w:val="single" w:color="C8A989" w:sz="4" w:space="1"/>
        </w:pBdr>
        <w:spacing w:after="200" w:before="60"/>
      </w:pPr>
    </w:p>
    <w:p>
      <w:pPr>
        <w:spacing w:after="80" w:before="160"/>
      </w:pPr>
      <w:r>
        <w:rPr>
          <w:rFonts w:ascii="Arial" w:cs="Arial" w:eastAsia="Arial" w:hAnsi="Arial"/>
          <w:b/>
          <w:bCs/>
          <w:color w:val="8A7B68"/>
          <w:spacing w:val="60"/>
          <w:sz w:val="16"/>
          <w:szCs w:val="16"/>
        </w:rPr>
        <w:t xml:space="preserve">SURFACES</w:t>
      </w:r>
    </w:p>
    <w:p>
      <w:pPr>
        <w:pStyle w:val="ListParagraph"/>
        <w:numPr>
          <w:ilvl w:val="0"/>
          <w:numId w:val="2"/>
        </w:numPr>
        <w:spacing w:after="80"/>
      </w:pPr>
      <w:r>
        <w:rPr>
          <w:rFonts w:ascii="Arial" w:cs="Arial" w:eastAsia="Arial" w:hAnsi="Arial"/>
          <w:color w:val="3B2F22"/>
          <w:sz w:val="22"/>
          <w:szCs w:val="22"/>
        </w:rPr>
        <w:t xml:space="preserve">App background: Glaze. Cards: Cream. Dark cards (Coach prompts, hero moments): Espresso with Cream text.</w:t>
      </w:r>
    </w:p>
    <w:p>
      <w:pPr>
        <w:pStyle w:val="ListParagraph"/>
        <w:numPr>
          <w:ilvl w:val="0"/>
          <w:numId w:val="2"/>
        </w:numPr>
        <w:spacing w:after="80"/>
      </w:pPr>
      <w:r>
        <w:rPr>
          <w:rFonts w:ascii="Arial" w:cs="Arial" w:eastAsia="Arial" w:hAnsi="Arial"/>
          <w:color w:val="3B2F22"/>
          <w:sz w:val="22"/>
          <w:szCs w:val="22"/>
        </w:rPr>
        <w:t xml:space="preserve">One Vapor accent per screen, maximum. Vapor is the eye magnet — use it where you want the user to look.</w:t>
      </w:r>
    </w:p>
    <w:p>
      <w:pPr>
        <w:pStyle w:val="ListParagraph"/>
        <w:numPr>
          <w:ilvl w:val="0"/>
          <w:numId w:val="2"/>
        </w:numPr>
        <w:spacing w:after="80"/>
      </w:pPr>
      <w:r>
        <w:rPr>
          <w:rFonts w:ascii="Arial" w:cs="Arial" w:eastAsia="Arial" w:hAnsi="Arial"/>
          <w:color w:val="3B2F22"/>
          <w:sz w:val="22"/>
          <w:szCs w:val="22"/>
        </w:rPr>
        <w:t xml:space="preserve">Corner radius: 14px for cards, 100px for buttons and chips (full pills). No square corners anywhere.</w:t>
      </w:r>
    </w:p>
    <w:p>
      <w:pPr>
        <w:spacing w:after="80" w:before="160"/>
      </w:pPr>
      <w:r>
        <w:rPr>
          <w:rFonts w:ascii="Arial" w:cs="Arial" w:eastAsia="Arial" w:hAnsi="Arial"/>
          <w:b/>
          <w:bCs/>
          <w:color w:val="8A7B68"/>
          <w:spacing w:val="60"/>
          <w:sz w:val="16"/>
          <w:szCs w:val="16"/>
        </w:rPr>
        <w:t xml:space="preserve">BUTTONS</w:t>
      </w:r>
    </w:p>
    <w:p>
      <w:pPr>
        <w:pStyle w:val="ListParagraph"/>
        <w:numPr>
          <w:ilvl w:val="0"/>
          <w:numId w:val="2"/>
        </w:numPr>
        <w:spacing w:after="80"/>
      </w:pPr>
      <w:r>
        <w:rPr>
          <w:rFonts w:ascii="Arial" w:cs="Arial" w:eastAsia="Arial" w:hAnsi="Arial"/>
          <w:color w:val="3B2F22"/>
          <w:sz w:val="22"/>
          <w:szCs w:val="22"/>
        </w:rPr>
        <w:t xml:space="preserve">Primary: Espresso fill, Cream text, pill. Used for the one action that matters per screen.</w:t>
      </w:r>
    </w:p>
    <w:p>
      <w:pPr>
        <w:pStyle w:val="ListParagraph"/>
        <w:numPr>
          <w:ilvl w:val="0"/>
          <w:numId w:val="2"/>
        </w:numPr>
        <w:spacing w:after="80"/>
      </w:pPr>
      <w:r>
        <w:rPr>
          <w:rFonts w:ascii="Arial" w:cs="Arial" w:eastAsia="Arial" w:hAnsi="Arial"/>
          <w:color w:val="3B2F22"/>
          <w:sz w:val="22"/>
          <w:szCs w:val="22"/>
        </w:rPr>
        <w:t xml:space="preserve">Secondary: transparent with 1px Espresso border, Espresso text, pill.</w:t>
      </w:r>
    </w:p>
    <w:p>
      <w:pPr>
        <w:pStyle w:val="ListParagraph"/>
        <w:numPr>
          <w:ilvl w:val="0"/>
          <w:numId w:val="2"/>
        </w:numPr>
        <w:spacing w:after="80"/>
      </w:pPr>
      <w:r>
        <w:rPr>
          <w:rFonts w:ascii="Arial" w:cs="Arial" w:eastAsia="Arial" w:hAnsi="Arial"/>
          <w:color w:val="3B2F22"/>
          <w:sz w:val="22"/>
          <w:szCs w:val="22"/>
        </w:rPr>
        <w:t xml:space="preserve">Accent: Vapor fill, Espresso text, pill. Used for affirmative actions inside dark Coach cards.</w:t>
      </w:r>
    </w:p>
    <w:p>
      <w:pPr>
        <w:pStyle w:val="ListParagraph"/>
        <w:numPr>
          <w:ilvl w:val="0"/>
          <w:numId w:val="2"/>
        </w:numPr>
        <w:spacing w:after="80"/>
      </w:pPr>
      <w:r>
        <w:rPr>
          <w:rFonts w:ascii="Arial" w:cs="Arial" w:eastAsia="Arial" w:hAnsi="Arial"/>
          <w:color w:val="3B2F22"/>
          <w:sz w:val="22"/>
          <w:szCs w:val="22"/>
        </w:rPr>
        <w:t xml:space="preserve">Celebration: Honey fill, Espresso text, pill. Reserved for milestone or first-time-success moments only — never on a recurring screen.</w:t>
      </w:r>
    </w:p>
    <w:p>
      <w:pPr>
        <w:pStyle w:val="ListParagraph"/>
        <w:numPr>
          <w:ilvl w:val="0"/>
          <w:numId w:val="2"/>
        </w:numPr>
        <w:spacing w:after="80"/>
      </w:pPr>
      <w:r>
        <w:rPr>
          <w:rFonts w:ascii="Arial" w:cs="Arial" w:eastAsia="Arial" w:hAnsi="Arial"/>
          <w:color w:val="3B2F22"/>
          <w:sz w:val="22"/>
          <w:szCs w:val="22"/>
        </w:rPr>
        <w:t xml:space="preserve">Never use red destructive buttons. Use Clay for warnings; confirmation is always handled by a second tap, not a color.</w:t>
      </w:r>
    </w:p>
    <w:p>
      <w:pPr>
        <w:spacing w:after="80" w:before="160"/>
      </w:pPr>
      <w:r>
        <w:rPr>
          <w:rFonts w:ascii="Arial" w:cs="Arial" w:eastAsia="Arial" w:hAnsi="Arial"/>
          <w:b/>
          <w:bCs/>
          <w:color w:val="8A7B68"/>
          <w:spacing w:val="60"/>
          <w:sz w:val="16"/>
          <w:szCs w:val="16"/>
        </w:rPr>
        <w:t xml:space="preserve">NAVIGATION — FIVE SURFACES</w:t>
      </w:r>
    </w:p>
    <w:p>
      <w:pPr>
        <w:spacing w:after="120"/>
      </w:pPr>
      <w:r>
        <w:rPr>
          <w:rFonts w:ascii="Arial" w:cs="Arial" w:eastAsia="Arial" w:hAnsi="Arial"/>
          <w:color w:val="3B2F22"/>
          <w:sz w:val="22"/>
          <w:szCs w:val="22"/>
        </w:rPr>
        <w:t xml:space="preserve">The bottom tab bar holds five surfaces, in this order. The order is itself a positioning statement: brain first, inputs in the middle, outcome at the end.</w:t>
      </w:r>
    </w:p>
    <w:p>
      <w:pPr>
        <w:pStyle w:val="ListParagraph"/>
        <w:numPr>
          <w:ilvl w:val="0"/>
          <w:numId w:val="2"/>
        </w:numPr>
        <w:spacing w:after="80"/>
      </w:pPr>
      <w:r>
        <w:rPr>
          <w:rFonts w:ascii="Arial" w:cs="Arial" w:eastAsia="Arial" w:hAnsi="Arial"/>
          <w:color w:val="3B2F22"/>
          <w:sz w:val="22"/>
          <w:szCs w:val="22"/>
        </w:rPr>
        <w:t xml:space="preserve">Wren Coach — home. The conversation, not a dashboard. This is where the app opens by default.</w:t>
      </w:r>
    </w:p>
    <w:p>
      <w:pPr>
        <w:pStyle w:val="ListParagraph"/>
        <w:numPr>
          <w:ilvl w:val="0"/>
          <w:numId w:val="2"/>
        </w:numPr>
        <w:spacing w:after="80"/>
      </w:pPr>
      <w:r>
        <w:rPr>
          <w:rFonts w:ascii="Arial" w:cs="Arial" w:eastAsia="Arial" w:hAnsi="Arial"/>
          <w:color w:val="3B2F22"/>
          <w:sz w:val="22"/>
          <w:szCs w:val="22"/>
        </w:rPr>
        <w:t xml:space="preserve">Food — nutrition logging, paired with cycle and sleep context (never calorie-targeted alone).</w:t>
      </w:r>
    </w:p>
    <w:p>
      <w:pPr>
        <w:pStyle w:val="ListParagraph"/>
        <w:numPr>
          <w:ilvl w:val="0"/>
          <w:numId w:val="2"/>
        </w:numPr>
        <w:spacing w:after="80"/>
      </w:pPr>
      <w:r>
        <w:rPr>
          <w:rFonts w:ascii="Arial" w:cs="Arial" w:eastAsia="Arial" w:hAnsi="Arial"/>
          <w:color w:val="3B2F22"/>
          <w:sz w:val="22"/>
          <w:szCs w:val="22"/>
        </w:rPr>
        <w:t xml:space="preserve">Cycle — calendar and phase. Read-mostly; logging is incidental, not the point.</w:t>
      </w:r>
    </w:p>
    <w:p>
      <w:pPr>
        <w:pStyle w:val="ListParagraph"/>
        <w:numPr>
          <w:ilvl w:val="0"/>
          <w:numId w:val="2"/>
        </w:numPr>
        <w:spacing w:after="80"/>
      </w:pPr>
      <w:r>
        <w:rPr>
          <w:rFonts w:ascii="Arial" w:cs="Arial" w:eastAsia="Arial" w:hAnsi="Arial"/>
          <w:color w:val="3B2F22"/>
          <w:sz w:val="22"/>
          <w:szCs w:val="22"/>
        </w:rPr>
        <w:t xml:space="preserve">Workout — training programs and session logging, with phase-aware intensity suggestions from Coach.</w:t>
      </w:r>
    </w:p>
    <w:p>
      <w:pPr>
        <w:pStyle w:val="ListParagraph"/>
        <w:numPr>
          <w:ilvl w:val="0"/>
          <w:numId w:val="2"/>
        </w:numPr>
        <w:spacing w:after="80"/>
      </w:pPr>
      <w:r>
        <w:rPr>
          <w:rFonts w:ascii="Arial" w:cs="Arial" w:eastAsia="Arial" w:hAnsi="Arial"/>
          <w:color w:val="3B2F22"/>
          <w:sz w:val="22"/>
          <w:szCs w:val="22"/>
        </w:rPr>
        <w:t xml:space="preserve">Progress — long-arc views (weeks, months, cycle-over-cycle). The only place weight is shown, and only at weekly or longer cadence.</w:t>
      </w:r>
    </w:p>
    <w:p>
      <w:pPr>
        <w:pStyle w:val="ListParagraph"/>
        <w:numPr>
          <w:ilvl w:val="0"/>
          <w:numId w:val="2"/>
        </w:numPr>
        <w:spacing w:after="80"/>
      </w:pPr>
      <w:r>
        <w:rPr>
          <w:rFonts w:ascii="Arial" w:cs="Arial" w:eastAsia="Arial" w:hAnsi="Arial"/>
          <w:color w:val="3B2F22"/>
          <w:sz w:val="22"/>
          <w:szCs w:val="22"/>
        </w:rPr>
        <w:t xml:space="preserve">Active tab indicator: a small filled Espresso dot above the label. Inactive tabs use an open Latte circle. Label color: Espresso when active, Taupe when inactive. Label size: 8pt, tracked +100.</w:t>
      </w:r>
    </w:p>
    <w:p>
      <w:pPr>
        <w:spacing w:after="80" w:before="160"/>
      </w:pPr>
      <w:r>
        <w:rPr>
          <w:rFonts w:ascii="Arial" w:cs="Arial" w:eastAsia="Arial" w:hAnsi="Arial"/>
          <w:b/>
          <w:bCs/>
          <w:color w:val="8A7B68"/>
          <w:spacing w:val="60"/>
          <w:sz w:val="16"/>
          <w:szCs w:val="16"/>
        </w:rPr>
        <w:t xml:space="preserve">NUMBERS &amp; DATA</w:t>
      </w:r>
    </w:p>
    <w:p>
      <w:pPr>
        <w:pStyle w:val="ListParagraph"/>
        <w:numPr>
          <w:ilvl w:val="0"/>
          <w:numId w:val="2"/>
        </w:numPr>
        <w:spacing w:after="80"/>
      </w:pPr>
      <w:r>
        <w:rPr>
          <w:rFonts w:ascii="Arial" w:cs="Arial" w:eastAsia="Arial" w:hAnsi="Arial"/>
          <w:color w:val="3B2F22"/>
          <w:sz w:val="22"/>
          <w:szCs w:val="22"/>
        </w:rPr>
        <w:t xml:space="preserve">Numbers are set in italic serif, regular weight — not bold. A number should feel like part of a sentence, not an alarm.</w:t>
      </w:r>
    </w:p>
    <w:p>
      <w:pPr>
        <w:pStyle w:val="ListParagraph"/>
        <w:numPr>
          <w:ilvl w:val="0"/>
          <w:numId w:val="2"/>
        </w:numPr>
        <w:spacing w:after="80"/>
      </w:pPr>
      <w:r>
        <w:rPr>
          <w:rFonts w:ascii="Arial" w:cs="Arial" w:eastAsia="Arial" w:hAnsi="Arial"/>
          <w:color w:val="3B2F22"/>
          <w:sz w:val="22"/>
          <w:szCs w:val="22"/>
        </w:rPr>
        <w:t xml:space="preserve">Never display calories in larger type than the food name. Never display weight in larger type than the date.</w:t>
      </w:r>
    </w:p>
    <w:p>
      <w:pPr>
        <w:pStyle w:val="ListParagraph"/>
        <w:numPr>
          <w:ilvl w:val="0"/>
          <w:numId w:val="2"/>
        </w:numPr>
        <w:spacing w:after="80"/>
      </w:pPr>
      <w:r>
        <w:rPr>
          <w:rFonts w:ascii="Arial" w:cs="Arial" w:eastAsia="Arial" w:hAnsi="Arial"/>
          <w:color w:val="3B2F22"/>
          <w:sz w:val="22"/>
          <w:szCs w:val="22"/>
        </w:rPr>
        <w:t xml:space="preserve">No graphs with red zones. Use Sage, Butter, Vapor, Rose, Clay as a spectrum — never green-to-red.</w:t>
      </w:r>
    </w:p>
    <w:p>
      <w:pPr>
        <w:spacing w:after="80" w:before="160"/>
      </w:pPr>
      <w:r>
        <w:rPr>
          <w:rFonts w:ascii="Arial" w:cs="Arial" w:eastAsia="Arial" w:hAnsi="Arial"/>
          <w:b/>
          <w:bCs/>
          <w:color w:val="8A7B68"/>
          <w:spacing w:val="60"/>
          <w:sz w:val="16"/>
          <w:szCs w:val="16"/>
        </w:rPr>
        <w:t xml:space="preserve">MOTION</w:t>
      </w:r>
    </w:p>
    <w:p>
      <w:pPr>
        <w:pStyle w:val="ListParagraph"/>
        <w:numPr>
          <w:ilvl w:val="0"/>
          <w:numId w:val="2"/>
        </w:numPr>
        <w:spacing w:after="80"/>
      </w:pPr>
      <w:r>
        <w:rPr>
          <w:rFonts w:ascii="Arial" w:cs="Arial" w:eastAsia="Arial" w:hAnsi="Arial"/>
          <w:color w:val="3B2F22"/>
          <w:sz w:val="22"/>
          <w:szCs w:val="22"/>
        </w:rPr>
        <w:t xml:space="preserve">Default easing: cubic-bezier(.22, 1, .36, 1) — a gentle settle, not a snap.</w:t>
      </w:r>
    </w:p>
    <w:p>
      <w:pPr>
        <w:pStyle w:val="ListParagraph"/>
        <w:numPr>
          <w:ilvl w:val="0"/>
          <w:numId w:val="2"/>
        </w:numPr>
        <w:spacing w:after="80"/>
      </w:pPr>
      <w:r>
        <w:rPr>
          <w:rFonts w:ascii="Arial" w:cs="Arial" w:eastAsia="Arial" w:hAnsi="Arial"/>
          <w:color w:val="3B2F22"/>
          <w:sz w:val="22"/>
          <w:szCs w:val="22"/>
        </w:rPr>
        <w:t xml:space="preserve">Default duration: 320ms. Faster feels nervous; slower feels stuck.</w:t>
      </w:r>
    </w:p>
    <w:p>
      <w:pPr>
        <w:pStyle w:val="ListParagraph"/>
        <w:numPr>
          <w:ilvl w:val="0"/>
          <w:numId w:val="2"/>
        </w:numPr>
        <w:spacing w:after="80"/>
      </w:pPr>
      <w:r>
        <w:rPr>
          <w:rFonts w:ascii="Arial" w:cs="Arial" w:eastAsia="Arial" w:hAnsi="Arial"/>
          <w:color w:val="3B2F22"/>
          <w:sz w:val="22"/>
          <w:szCs w:val="22"/>
        </w:rPr>
        <w:t xml:space="preserve">No bounce, no spring overshoot, no haptic on every tap. Haptic is reserved for cycle-day rollover and Coach-message arrival.</w:t>
      </w:r>
    </w:p>
    <w:p>
      <w:r>
        <w:br w:type="page"/>
      </w:r>
    </w:p>
    <w:p>
      <w:pPr>
        <w:pStyle w:val="Heading1"/>
        <w:spacing w:after="160" w:before="320"/>
      </w:pPr>
      <w:r>
        <w:rPr>
          <w:rFonts w:ascii="Arial" w:cs="Arial" w:eastAsia="Arial" w:hAnsi="Arial"/>
          <w:b/>
          <w:bCs/>
          <w:color w:val="3B2F22"/>
          <w:spacing w:val="-20"/>
          <w:sz w:val="44"/>
          <w:szCs w:val="44"/>
        </w:rPr>
        <w:t xml:space="preserve">08.  ED-safety language</w:t>
      </w:r>
    </w:p>
    <w:p>
      <w:pPr>
        <w:pBdr>
          <w:bottom w:val="single" w:color="C8A989" w:sz="4" w:space="1"/>
        </w:pBdr>
        <w:spacing w:after="200" w:before="60"/>
      </w:pPr>
    </w:p>
    <w:p>
      <w:pPr>
        <w:spacing w:after="120"/>
      </w:pPr>
      <w:r>
        <w:rPr>
          <w:rFonts w:ascii="Arial" w:cs="Arial" w:eastAsia="Arial" w:hAnsi="Arial"/>
          <w:color w:val="3B2F22"/>
          <w:sz w:val="22"/>
          <w:szCs w:val="22"/>
        </w:rPr>
        <w:t xml:space="preserve">Wren serves a population in which a meaningful percentage has lived with or is at risk of an eating disorder. The brand voice is not just a tonal preference — it is a safety constraint. The following rules are not stylistic; they are non-negotiable.</w:t>
      </w:r>
    </w:p>
    <w:p>
      <w:pPr>
        <w:spacing w:after="80" w:before="160"/>
      </w:pPr>
      <w:r>
        <w:rPr>
          <w:rFonts w:ascii="Arial" w:cs="Arial" w:eastAsia="Arial" w:hAnsi="Arial"/>
          <w:b/>
          <w:bCs/>
          <w:color w:val="8A7B68"/>
          <w:spacing w:val="60"/>
          <w:sz w:val="16"/>
          <w:szCs w:val="16"/>
        </w:rPr>
        <w:t xml:space="preserve">NEVER DISPLAY IN PRIMARY TYPE</w:t>
      </w:r>
    </w:p>
    <w:p>
      <w:pPr>
        <w:pStyle w:val="ListParagraph"/>
        <w:numPr>
          <w:ilvl w:val="0"/>
          <w:numId w:val="2"/>
        </w:numPr>
        <w:spacing w:after="80"/>
      </w:pPr>
      <w:r>
        <w:rPr>
          <w:rFonts w:ascii="Arial" w:cs="Arial" w:eastAsia="Arial" w:hAnsi="Arial"/>
          <w:color w:val="3B2F22"/>
          <w:sz w:val="22"/>
          <w:szCs w:val="22"/>
        </w:rPr>
        <w:t xml:space="preserve">Calories consumed today vs. a target.</w:t>
      </w:r>
    </w:p>
    <w:p>
      <w:pPr>
        <w:pStyle w:val="ListParagraph"/>
        <w:numPr>
          <w:ilvl w:val="0"/>
          <w:numId w:val="2"/>
        </w:numPr>
        <w:spacing w:after="80"/>
      </w:pPr>
      <w:r>
        <w:rPr>
          <w:rFonts w:ascii="Arial" w:cs="Arial" w:eastAsia="Arial" w:hAnsi="Arial"/>
          <w:color w:val="3B2F22"/>
          <w:sz w:val="22"/>
          <w:szCs w:val="22"/>
        </w:rPr>
        <w:t xml:space="preserve">Weight change as a single large number.</w:t>
      </w:r>
    </w:p>
    <w:p>
      <w:pPr>
        <w:pStyle w:val="ListParagraph"/>
        <w:numPr>
          <w:ilvl w:val="0"/>
          <w:numId w:val="2"/>
        </w:numPr>
        <w:spacing w:after="80"/>
      </w:pPr>
      <w:r>
        <w:rPr>
          <w:rFonts w:ascii="Arial" w:cs="Arial" w:eastAsia="Arial" w:hAnsi="Arial"/>
          <w:color w:val="3B2F22"/>
          <w:sz w:val="22"/>
          <w:szCs w:val="22"/>
        </w:rPr>
        <w:t xml:space="preserve">Body-fat percentage, BMI, or any single composite "health score."</w:t>
      </w:r>
    </w:p>
    <w:p>
      <w:pPr>
        <w:pStyle w:val="ListParagraph"/>
        <w:numPr>
          <w:ilvl w:val="0"/>
          <w:numId w:val="2"/>
        </w:numPr>
        <w:spacing w:after="80"/>
      </w:pPr>
      <w:r>
        <w:rPr>
          <w:rFonts w:ascii="Arial" w:cs="Arial" w:eastAsia="Arial" w:hAnsi="Arial"/>
          <w:color w:val="3B2F22"/>
          <w:sz w:val="22"/>
          <w:szCs w:val="22"/>
        </w:rPr>
        <w:t xml:space="preserve">Streak counts for any logging behavior related to food or exercise.</w:t>
      </w:r>
    </w:p>
    <w:p>
      <w:pPr>
        <w:spacing w:after="80" w:before="160"/>
      </w:pPr>
      <w:r>
        <w:rPr>
          <w:rFonts w:ascii="Arial" w:cs="Arial" w:eastAsia="Arial" w:hAnsi="Arial"/>
          <w:b/>
          <w:bCs/>
          <w:color w:val="8A7B68"/>
          <w:spacing w:val="60"/>
          <w:sz w:val="16"/>
          <w:szCs w:val="16"/>
        </w:rPr>
        <w:t xml:space="preserve">ALWAYS PAIR WITH PHASE CONTEXT</w:t>
      </w:r>
    </w:p>
    <w:p>
      <w:pPr>
        <w:spacing w:after="120"/>
      </w:pPr>
      <w:r>
        <w:rPr>
          <w:rFonts w:ascii="Arial" w:cs="Arial" w:eastAsia="Arial" w:hAnsi="Arial"/>
          <w:color w:val="3B2F22"/>
          <w:sz w:val="22"/>
          <w:szCs w:val="22"/>
        </w:rPr>
        <w:t xml:space="preserve">If energy intake or output is shown, it must be shown alongside cycle phase, sleep, and stress — never alone. The user should never see "you ate less today" without seeing "you also slept less and your luteal phase begins tomorrow."</w:t>
      </w:r>
    </w:p>
    <w:p>
      <w:pPr>
        <w:spacing w:after="80" w:before="160"/>
      </w:pPr>
      <w:r>
        <w:rPr>
          <w:rFonts w:ascii="Arial" w:cs="Arial" w:eastAsia="Arial" w:hAnsi="Arial"/>
          <w:b/>
          <w:bCs/>
          <w:color w:val="8A7B68"/>
          <w:spacing w:val="60"/>
          <w:sz w:val="16"/>
          <w:szCs w:val="16"/>
        </w:rPr>
        <w:t xml:space="preserve">REFRAMES</w:t>
      </w:r>
    </w:p>
    <w:p>
      <w:pPr>
        <w:pStyle w:val="ListParagraph"/>
        <w:numPr>
          <w:ilvl w:val="0"/>
          <w:numId w:val="2"/>
        </w:numPr>
        <w:spacing w:after="80"/>
      </w:pPr>
      <w:r>
        <w:rPr>
          <w:rFonts w:ascii="Arial" w:cs="Arial" w:eastAsia="Arial" w:hAnsi="Arial"/>
          <w:color w:val="3B2F22"/>
          <w:sz w:val="22"/>
          <w:szCs w:val="22"/>
        </w:rPr>
        <w:t xml:space="preserve">Instead of "calorie deficit" → "less fuel than usual today."</w:t>
      </w:r>
    </w:p>
    <w:p>
      <w:pPr>
        <w:pStyle w:val="ListParagraph"/>
        <w:numPr>
          <w:ilvl w:val="0"/>
          <w:numId w:val="2"/>
        </w:numPr>
        <w:spacing w:after="80"/>
      </w:pPr>
      <w:r>
        <w:rPr>
          <w:rFonts w:ascii="Arial" w:cs="Arial" w:eastAsia="Arial" w:hAnsi="Arial"/>
          <w:color w:val="3B2F22"/>
          <w:sz w:val="22"/>
          <w:szCs w:val="22"/>
        </w:rPr>
        <w:t xml:space="preserve">Instead of "goal missed" → "different kind of day."</w:t>
      </w:r>
    </w:p>
    <w:p>
      <w:pPr>
        <w:pStyle w:val="ListParagraph"/>
        <w:numPr>
          <w:ilvl w:val="0"/>
          <w:numId w:val="2"/>
        </w:numPr>
        <w:spacing w:after="80"/>
      </w:pPr>
      <w:r>
        <w:rPr>
          <w:rFonts w:ascii="Arial" w:cs="Arial" w:eastAsia="Arial" w:hAnsi="Arial"/>
          <w:color w:val="3B2F22"/>
          <w:sz w:val="22"/>
          <w:szCs w:val="22"/>
        </w:rPr>
        <w:t xml:space="preserve">Instead of "weight gain" → "weight up" (and only in a weekly summary, never daily).</w:t>
      </w:r>
    </w:p>
    <w:p>
      <w:pPr>
        <w:pStyle w:val="ListParagraph"/>
        <w:numPr>
          <w:ilvl w:val="0"/>
          <w:numId w:val="2"/>
        </w:numPr>
        <w:spacing w:after="80"/>
      </w:pPr>
      <w:r>
        <w:rPr>
          <w:rFonts w:ascii="Arial" w:cs="Arial" w:eastAsia="Arial" w:hAnsi="Arial"/>
          <w:color w:val="3B2F22"/>
          <w:sz w:val="22"/>
          <w:szCs w:val="22"/>
        </w:rPr>
        <w:t xml:space="preserve">Instead of "burn" or "torch" anywhere — use "spend" or "move."</w:t>
      </w:r>
    </w:p>
    <w:p>
      <w:pPr>
        <w:spacing w:after="80" w:before="160"/>
      </w:pPr>
      <w:r>
        <w:rPr>
          <w:rFonts w:ascii="Arial" w:cs="Arial" w:eastAsia="Arial" w:hAnsi="Arial"/>
          <w:b/>
          <w:bCs/>
          <w:color w:val="8A7B68"/>
          <w:spacing w:val="60"/>
          <w:sz w:val="16"/>
          <w:szCs w:val="16"/>
        </w:rPr>
        <w:t xml:space="preserve">COACH SAFETY PROMPTS</w:t>
      </w:r>
    </w:p>
    <w:p>
      <w:pPr>
        <w:spacing w:after="120"/>
      </w:pPr>
      <w:r>
        <w:rPr>
          <w:rFonts w:ascii="Arial" w:cs="Arial" w:eastAsia="Arial" w:hAnsi="Arial"/>
          <w:color w:val="3B2F22"/>
          <w:sz w:val="22"/>
          <w:szCs w:val="22"/>
        </w:rPr>
        <w:t xml:space="preserve">If a user logs less than 1,200 kcal or skips meals more than two consecutive days, Coach surfaces a gentle check-in: a soft sentence, an opt-out, and a resource link. The check-in never uses the word "concern" or "worried" in the user-facing copy. It says: "Want to talk about today?" That phrasing has been tested for non-alarming retention.</w:t>
      </w:r>
    </w:p>
    <w:p>
      <w:pPr>
        <w:pStyle w:val="Heading1"/>
        <w:spacing w:after="160" w:before="320"/>
      </w:pPr>
      <w:r>
        <w:rPr>
          <w:rFonts w:ascii="Arial" w:cs="Arial" w:eastAsia="Arial" w:hAnsi="Arial"/>
          <w:b/>
          <w:bCs/>
          <w:color w:val="3B2F22"/>
          <w:spacing w:val="-20"/>
          <w:sz w:val="44"/>
          <w:szCs w:val="44"/>
        </w:rPr>
        <w:t xml:space="preserve">09.  In one paragraph</w:t>
      </w:r>
    </w:p>
    <w:p>
      <w:pPr>
        <w:pBdr>
          <w:bottom w:val="single" w:color="C8A989" w:sz="4" w:space="1"/>
        </w:pBdr>
        <w:spacing w:after="200" w:before="60"/>
      </w:pPr>
    </w:p>
    <w:p>
      <w:pPr>
        <w:spacing w:after="180"/>
      </w:pPr>
      <w:r>
        <w:rPr>
          <w:rFonts w:ascii="Arial" w:cs="Arial" w:eastAsia="Arial" w:hAnsi="Arial"/>
          <w:b/>
          <w:bCs/>
          <w:color w:val="3B2F22"/>
          <w:spacing w:val="-15"/>
          <w:sz w:val="22"/>
          <w:szCs w:val="22"/>
        </w:rPr>
        <w:t xml:space="preserve">Wren is the women’s health app for the woman who already understands her body and wants a calm, knowledgeable companion — not a scoreboard. The brand is warm cream, cool vapor, and italic serif. The voice is full sentences and quiet confidence. The product never punishes, never streaks, never alarms. It is the body, fluently.</w:t>
      </w:r>
    </w:p>
    <w:p>
      <w:pPr>
        <w:spacing w:after="200" w:before="720"/>
        <w:jc w:val="center"/>
      </w:pPr>
      <w:r>
        <w:rPr>
          <w:rFonts w:ascii="Arial" w:cs="Arial" w:eastAsia="Arial" w:hAnsi="Arial"/>
          <w:b/>
          <w:bCs/>
          <w:color w:val="E8B86A"/>
          <w:spacing w:val="-10"/>
          <w:sz w:val="56"/>
          <w:szCs w:val="56"/>
        </w:rPr>
        <w:t xml:space="preserve">wren</w:t>
      </w:r>
    </w:p>
    <w:p>
      <w:pPr>
        <w:jc w:val="center"/>
      </w:pPr>
      <w:r>
        <w:rPr>
          <w:rFonts w:ascii="Arial" w:cs="Arial" w:eastAsia="Arial" w:hAnsi="Arial"/>
          <w:color w:val="8A7B68"/>
          <w:sz w:val="18"/>
          <w:szCs w:val="18"/>
        </w:rPr>
        <w:t xml:space="preserve">End of brand system v1. Reviewed by the founder. Iterate as the product grows.</w:t>
      </w:r>
    </w:p>
    <w:sectPr>
      <w:footerReference w:type="default" r:id="rId7"/>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8A7B68"/>
        <w:sz w:val="18"/>
        <w:szCs w:val="18"/>
      </w:rPr>
      <w:t xml:space="preserve">wren </w:t>
    </w:r>
    <w:r>
      <w:rPr>
        <w:rFonts w:ascii="Arial" w:cs="Arial" w:eastAsia="Arial" w:hAnsi="Arial"/>
        <w:color w:val="8A7B68"/>
        <w:sz w:val="16"/>
        <w:szCs w:val="16"/>
      </w:rPr>
      <w:t xml:space="preserve">· brand system v1 · </w:t>
    </w:r>
    <w:r>
      <w:rPr>
        <w:rFonts w:ascii="Arial" w:cs="Arial" w:eastAsia="Arial" w:hAnsi="Arial"/>
        <w:color w:val="8A7B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3B2F22"/>
      <w:sz w:val="44"/>
      <w:szCs w:val="44"/>
    </w:rPr>
  </w:style>
  <w:style w:type="paragraph" w:styleId="Heading2">
    <w:name w:val="Heading 2"/>
    <w:basedOn w:val="Normal"/>
    <w:next w:val="Normal"/>
    <w:qFormat/>
    <w:pPr>
      <w:spacing w:after="120" w:before="240"/>
      <w:outlineLvl w:val="1"/>
    </w:pPr>
    <w:rPr>
      <w:rFonts w:ascii="Arial" w:cs="Arial" w:eastAsia="Arial" w:hAnsi="Arial"/>
      <w:b/>
      <w:bCs/>
      <w:color w:val="3B2F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Wren — Brand System v1</dc:title>
  <dc:creator>Wren Brand</dc:creator>
  <cp:lastModifiedBy>Un-named</cp:lastModifiedBy>
  <cp:revision>1</cp:revision>
  <dcterms:created xsi:type="dcterms:W3CDTF">2026-05-30T16:59:11.991Z</dcterms:created>
  <dcterms:modified xsi:type="dcterms:W3CDTF">2026-05-30T16:59:12.028Z</dcterms:modified>
</cp:coreProperties>
</file>

<file path=docProps/custom.xml><?xml version="1.0" encoding="utf-8"?>
<Properties xmlns="http://schemas.openxmlformats.org/officeDocument/2006/custom-properties" xmlns:vt="http://schemas.openxmlformats.org/officeDocument/2006/docPropsVTypes"/>
</file>