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標楷體" w:hAnsi="標楷體" w:eastAsia="標楷體"/>
          <w:b w:val="0"/>
          <w:sz w:val="28"/>
        </w:rPr>
        <w:t>台中慈濟醫院</w:t>
      </w:r>
    </w:p>
    <w:p>
      <w:pPr>
        <w:jc w:val="center"/>
      </w:pPr>
      <w:r>
        <w:rPr>
          <w:rFonts w:ascii="標楷體" w:hAnsi="標楷體" w:eastAsia="標楷體"/>
          <w:b w:val="0"/>
          <w:sz w:val="28"/>
        </w:rPr>
        <w:t>公共傳播室</w:t>
      </w:r>
    </w:p>
    <w:p/>
    <w:p>
      <w:pPr>
        <w:jc w:val="center"/>
      </w:pPr>
      <w:r>
        <w:rPr>
          <w:rFonts w:ascii="標楷體" w:hAnsi="標楷體" w:eastAsia="標楷體"/>
          <w:b/>
          <w:sz w:val="44"/>
        </w:rPr>
        <w:t>外包短影音成效分析報告</w:t>
      </w:r>
    </w:p>
    <w:p>
      <w:pPr>
        <w:jc w:val="center"/>
      </w:pPr>
      <w:r>
        <w:rPr>
          <w:rFonts w:ascii="標楷體" w:hAnsi="標楷體" w:eastAsia="標楷體"/>
          <w:b w:val="0"/>
          <w:sz w:val="28"/>
        </w:rPr>
        <w:t>民國 114 年 9 月 至 115 年 4 月</w:t>
      </w:r>
    </w:p>
    <w:p/>
    <w:p>
      <w:pPr>
        <w:jc w:val="center"/>
      </w:pPr>
      <w:r>
        <w:rPr>
          <w:rFonts w:ascii="標楷體" w:hAnsi="標楷體" w:eastAsia="標楷體"/>
          <w:b w:val="0"/>
          <w:sz w:val="24"/>
        </w:rPr>
        <w:t>製表日期：民國 115 年 5 月 13 日</w:t>
      </w:r>
    </w:p>
    <w:p>
      <w:r>
        <w:br w:type="page"/>
      </w:r>
    </w:p>
    <w:p>
      <w:pPr>
        <w:jc w:val="left"/>
      </w:pPr>
      <w:r>
        <w:rPr>
          <w:rFonts w:ascii="標楷體" w:hAnsi="標楷體" w:eastAsia="標楷體"/>
          <w:b/>
          <w:sz w:val="28"/>
        </w:rPr>
        <w:t>壹、主旨</w:t>
      </w:r>
    </w:p>
    <w:p>
      <w:pPr>
        <w:ind w:firstLine="420"/>
      </w:pPr>
      <w:r>
        <w:rPr>
          <w:rFonts w:ascii="標楷體" w:hAnsi="標楷體" w:eastAsia="標楷體"/>
          <w:b w:val="0"/>
          <w:sz w:val="24"/>
        </w:rPr>
        <w:t>本報告彙整本院公共傳播室委託外包廠商製作之短影音成效，分析期間自民國 114 年 9 月至 115 年 4 月，共計 8 個月，影片總數 40 支（YouTube × 40、Facebook × 39，合計 79 筆發布紀錄），供長官審閱及作為後續採購決策參考。</w:t>
      </w:r>
    </w:p>
    <w:p/>
    <w:p>
      <w:pPr>
        <w:jc w:val="left"/>
      </w:pPr>
      <w:r>
        <w:rPr>
          <w:rFonts w:ascii="標楷體" w:hAnsi="標楷體" w:eastAsia="標楷體"/>
          <w:b/>
          <w:sz w:val="28"/>
        </w:rPr>
        <w:t>貳、說明</w:t>
      </w:r>
    </w:p>
    <w:p>
      <w:r>
        <w:rPr>
          <w:rFonts w:ascii="標楷體" w:hAnsi="標楷體" w:eastAsia="標楷體"/>
          <w:b w:val="0"/>
          <w:sz w:val="24"/>
        </w:rPr>
        <w:t>一、製作背景與目的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本院自民國 114 年第三季起，委託外包廠商製作衛教短影音，同步上架 YouTube Shorts 及 Facebook Reels 兩大平台，以擴大衛教資訊觸及並提升民眾健康識能。本期報告聚焦廠商執行成效評估，提供具體數據作為續約、汰換或調整合作模式之依據。</w:t>
      </w:r>
    </w:p>
    <w:p/>
    <w:p>
      <w:r>
        <w:rPr>
          <w:rFonts w:ascii="標楷體" w:hAnsi="標楷體" w:eastAsia="標楷體"/>
          <w:b w:val="0"/>
          <w:sz w:val="24"/>
        </w:rPr>
        <w:t>二、分析期間及影片概況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項目</w:t>
            </w:r>
          </w:p>
        </w:tc>
        <w:tc>
          <w:tcPr>
            <w:tcW w:type="dxa" w:w="3041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說明</w:t>
            </w:r>
          </w:p>
        </w:tc>
        <w:tc>
          <w:tcPr>
            <w:tcW w:type="dxa" w:w="3041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數量</w:t>
            </w:r>
          </w:p>
        </w:tc>
      </w:tr>
      <w:tr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分析期間</w:t>
            </w:r>
          </w:p>
        </w:tc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114 年 9 月 7 日 ～ 115 年 4 月 29 日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8 個月</w:t>
            </w:r>
          </w:p>
        </w:tc>
      </w:tr>
      <w:tr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影片主題</w:t>
            </w:r>
          </w:p>
        </w:tc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腎臟病衛教、肺癌衛教、食道癌衛教、中醫保健、腫瘤照護、其他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5 大類</w:t>
            </w:r>
          </w:p>
        </w:tc>
      </w:tr>
      <w:tr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發布平台</w:t>
            </w:r>
          </w:p>
        </w:tc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YouTube Shorts + Facebook Reels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2 平台</w:t>
            </w:r>
          </w:p>
        </w:tc>
      </w:tr>
      <w:tr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影片總數</w:t>
            </w:r>
          </w:p>
        </w:tc>
        <w:tc>
          <w:tcPr>
            <w:tcW w:type="dxa" w:w="304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不重複影片 40 支（YT×40、FB×39）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79 筆紀錄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標楷體" w:hAnsi="標楷體" w:eastAsia="標楷體"/>
          <w:b/>
          <w:sz w:val="28"/>
        </w:rPr>
        <w:t>參、整體成效彙整</w:t>
      </w:r>
    </w:p>
    <w:p>
      <w:r>
        <w:rPr>
          <w:rFonts w:ascii="標楷體" w:hAnsi="標楷體" w:eastAsia="標楷體"/>
          <w:b w:val="0"/>
          <w:sz w:val="24"/>
        </w:rPr>
        <w:t>一、關鍵指標摘要（115 年 5 月 13 日自系統匯出）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FBFBF"/>
            <w:shd w:val="clear" w:color="auto" w:fill="BFBFBF"/>
            <w:shd w:val="clear" w:color="auto" w:fill="BFBFBF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影片總數（支）</w:t>
            </w:r>
          </w:p>
        </w:tc>
        <w:tc>
          <w:tcPr>
            <w:tcW w:type="dxa" w:w="2280"/>
            <w:shd w:val="clear" w:color="auto" w:fill="BFBFBF"/>
            <w:shd w:val="clear" w:color="auto" w:fill="BFBFBF"/>
            <w:shd w:val="clear" w:color="auto" w:fill="BFBFBF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累計觀看次數</w:t>
            </w:r>
          </w:p>
        </w:tc>
        <w:tc>
          <w:tcPr>
            <w:tcW w:type="dxa" w:w="2280"/>
            <w:shd w:val="clear" w:color="auto" w:fill="BFBFBF"/>
            <w:shd w:val="clear" w:color="auto" w:fill="BFBFBF"/>
            <w:shd w:val="clear" w:color="auto" w:fill="BFBFBF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平均互動率</w:t>
            </w:r>
          </w:p>
        </w:tc>
        <w:tc>
          <w:tcPr>
            <w:tcW w:type="dxa" w:w="2280"/>
            <w:shd w:val="clear" w:color="auto" w:fill="BFBFBF"/>
            <w:shd w:val="clear" w:color="auto" w:fill="BFBFBF"/>
            <w:shd w:val="clear" w:color="auto" w:fill="BFBFBF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平均 CPM（元）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6"/>
              </w:rPr>
              <w:t>40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6"/>
              </w:rPr>
              <w:t>107.6 萬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6"/>
              </w:rPr>
              <w:t>1.09%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6"/>
              </w:rPr>
              <w:t>NT$297</w:t>
            </w:r>
          </w:p>
        </w:tc>
      </w:tr>
    </w:tbl>
    <w:p/>
    <w:p>
      <w:pPr>
        <w:ind w:firstLine="420"/>
      </w:pPr>
      <w:r>
        <w:rPr>
          <w:rFonts w:ascii="標楷體" w:hAnsi="標楷體" w:eastAsia="標楷體"/>
          <w:b w:val="0"/>
          <w:sz w:val="24"/>
        </w:rPr>
        <w:t>備註：CPM＝每千次觀看成本（預算÷觀看數×1,000）；互動率＝（讚＋留言＋分享）÷觀看數×100%。</w:t>
      </w:r>
    </w:p>
    <w:p/>
    <w:p>
      <w:r>
        <w:rPr>
          <w:rFonts w:ascii="標楷體" w:hAnsi="標楷體" w:eastAsia="標楷體"/>
          <w:b w:val="0"/>
          <w:sz w:val="24"/>
        </w:rPr>
        <w:t>二、主題類別分布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主題類別</w:t>
            </w:r>
          </w:p>
        </w:tc>
        <w:tc>
          <w:tcPr>
            <w:tcW w:type="dxa" w:w="2280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影片數量（支）</w:t>
            </w:r>
          </w:p>
        </w:tc>
        <w:tc>
          <w:tcPr>
            <w:tcW w:type="dxa" w:w="2280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期間</w:t>
            </w:r>
          </w:p>
        </w:tc>
        <w:tc>
          <w:tcPr>
            <w:tcW w:type="dxa" w:w="2280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備註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腎臟病衛教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21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2025-09-07 ～ 2026-04-29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肺癌衛教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2026-02-01 ～ 2026-04-15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食道癌衛教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2026-03-15 ～ 2026-03-18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中醫保健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2026-02-22 ～ 2026-04-22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腫瘤照護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2026-04-19 ～ 2026-04-19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其他衛教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2025-12-21 ～ 2026-03-25</w:t>
            </w:r>
          </w:p>
        </w:tc>
        <w:tc>
          <w:tcPr>
            <w:tcW w:type="dxa" w:w="2280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—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標楷體" w:hAnsi="標楷體" w:eastAsia="標楷體"/>
          <w:b/>
          <w:sz w:val="28"/>
        </w:rPr>
        <w:t>肆、外包廠商績效評比</w:t>
      </w:r>
    </w:p>
    <w:p>
      <w:r>
        <w:rPr>
          <w:rFonts w:ascii="標楷體" w:hAnsi="標楷體" w:eastAsia="標楷體"/>
          <w:b w:val="0"/>
          <w:sz w:val="24"/>
        </w:rPr>
        <w:t>一、廠商績效彙整表</w:t>
      </w:r>
    </w:p>
    <w:p>
      <w:pPr>
        <w:ind w:left="420"/>
      </w:pPr>
      <w:r>
        <w:rPr>
          <w:rFonts w:ascii="標楷體" w:hAnsi="標楷體" w:eastAsia="標楷體"/>
          <w:b w:val="0"/>
          <w:color w:val="969696"/>
          <w:sz w:val="22"/>
        </w:rPr>
        <w:t>（請依實際合約廠商填入，如有多家廠商請逐列列出）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廠商名稱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影片數</w:t>
              <w:br/>
              <w:t>（支）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累計觀看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平均互動率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CPM</w:t>
              <w:br/>
              <w:t>（元）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內部評分</w:t>
              <w:br/>
              <w:t>（1–5）</w:t>
            </w:r>
          </w:p>
        </w:tc>
        <w:tc>
          <w:tcPr>
            <w:tcW w:type="dxa" w:w="1303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0"/>
              </w:rPr>
              <w:t>建議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2"/>
              </w:rPr>
              <w:t>廠商 A（請填）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2"/>
              </w:rPr>
              <w:t>廠商 B（請填）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2"/>
              </w:rPr>
              <w:t>廠商 C（請填）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303"/>
            <w:shd w:val="clear" w:color="auto" w:fill="E8E8E8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2"/>
              </w:rPr>
              <w:t>合　計</w:t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107.6 萬</w:t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1.09%</w:t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297</w:t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—</w:t>
            </w:r>
          </w:p>
        </w:tc>
        <w:tc>
          <w:tcPr>
            <w:tcW w:type="dxa" w:w="1303"/>
            <w:shd w:val="clear" w:color="auto" w:fill="E8E8E8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—</w:t>
            </w:r>
          </w:p>
        </w:tc>
      </w:tr>
    </w:tbl>
    <w:p/>
    <w:p>
      <w:r>
        <w:rPr>
          <w:rFonts w:ascii="標楷體" w:hAnsi="標楷體" w:eastAsia="標楷體"/>
          <w:b w:val="0"/>
          <w:sz w:val="24"/>
        </w:rPr>
        <w:t>二、評分說明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分數</w:t>
            </w:r>
          </w:p>
        </w:tc>
        <w:tc>
          <w:tcPr>
            <w:tcW w:type="dxa" w:w="4561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評估說明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5 分</w:t>
            </w:r>
          </w:p>
        </w:tc>
        <w:tc>
          <w:tcPr>
            <w:tcW w:type="dxa" w:w="456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各項指標均達標，製作品質優良，建議續約並增加合作比例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4 分</w:t>
            </w:r>
          </w:p>
        </w:tc>
        <w:tc>
          <w:tcPr>
            <w:tcW w:type="dxa" w:w="456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成效良好，小部分需改進，建議維持合作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3 分</w:t>
            </w:r>
          </w:p>
        </w:tc>
        <w:tc>
          <w:tcPr>
            <w:tcW w:type="dxa" w:w="456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達基本標準，需提出改善方案後續約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2 分</w:t>
            </w:r>
          </w:p>
        </w:tc>
        <w:tc>
          <w:tcPr>
            <w:tcW w:type="dxa" w:w="456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成效不佳，需列管追蹤，次期表現列為換約評估依據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 分</w:t>
            </w:r>
          </w:p>
        </w:tc>
        <w:tc>
          <w:tcPr>
            <w:tcW w:type="dxa" w:w="4561"/>
          </w:tcPr>
          <w:p>
            <w:r>
              <w:rPr>
                <w:rFonts w:ascii="標楷體" w:hAnsi="標楷體" w:eastAsia="標楷體"/>
                <w:b w:val="0"/>
                <w:sz w:val="24"/>
              </w:rPr>
              <w:t>明顯不達標，建議不予續約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標楷體" w:hAnsi="標楷體" w:eastAsia="標楷體"/>
          <w:b/>
          <w:sz w:val="28"/>
        </w:rPr>
        <w:t>伍、建議事項</w:t>
      </w:r>
    </w:p>
    <w:p>
      <w:r>
        <w:rPr>
          <w:rFonts w:ascii="標楷體" w:hAnsi="標楷體" w:eastAsia="標楷體"/>
          <w:b/>
          <w:sz w:val="24"/>
        </w:rPr>
        <w:t>一、持續追蹤互動率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本期平均互動率 1.09%，「腎臟病衛教」系列（第一季至第二季）已建立穩定受眾基礎；建議下半年保留腎臟病主題比例不低於 30%，兼顧新受眾開拓。</w:t>
      </w:r>
    </w:p>
    <w:p/>
    <w:p>
      <w:r>
        <w:rPr>
          <w:rFonts w:ascii="標楷體" w:hAnsi="標楷體" w:eastAsia="標楷體"/>
          <w:b/>
          <w:sz w:val="24"/>
        </w:rPr>
        <w:t>二、優先主題：中醫保健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中醫保健短影音自 115 年 3 月上架後，穴位示範類影片互動率高於平均，建議增加此類影片比例，可達到較低 CPM 同時吸引高黏著度受眾。</w:t>
      </w:r>
    </w:p>
    <w:p/>
    <w:p>
      <w:r>
        <w:rPr>
          <w:rFonts w:ascii="標楷體" w:hAnsi="標楷體" w:eastAsia="標楷體"/>
          <w:b/>
          <w:sz w:val="24"/>
        </w:rPr>
        <w:t>三、CPM 成本控管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目前 CPM 為 NT$297，建議以 NT$250 以下為廠商續約評核門檻，並要求廠商提出具體降本策略。</w:t>
      </w:r>
    </w:p>
    <w:p/>
    <w:p>
      <w:r>
        <w:rPr>
          <w:rFonts w:ascii="標楷體" w:hAnsi="標楷體" w:eastAsia="標楷體"/>
          <w:b/>
          <w:sz w:val="24"/>
        </w:rPr>
        <w:t>四、影片長度優化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建議要求廠商提供 30 秒內短片（Reels 最佳格式），並強化前 3 秒鉤子設計，以提升完播率。</w:t>
      </w:r>
    </w:p>
    <w:p/>
    <w:p>
      <w:r>
        <w:rPr>
          <w:rFonts w:ascii="標楷體" w:hAnsi="標楷體" w:eastAsia="標楷體"/>
          <w:b/>
          <w:sz w:val="24"/>
        </w:rPr>
        <w:t>五、廠商分級管理</w:t>
      </w:r>
    </w:p>
    <w:p>
      <w:pPr>
        <w:ind w:left="420"/>
      </w:pPr>
      <w:r>
        <w:rPr>
          <w:rFonts w:ascii="標楷體" w:hAnsi="標楷體" w:eastAsia="標楷體"/>
          <w:b w:val="0"/>
          <w:sz w:val="24"/>
        </w:rPr>
        <w:t>依本報告評分結果，建議採 A/B 雙廠商競標制，每季依成效調整分配比例，並保留彈性終止條款。</w:t>
      </w:r>
    </w:p>
    <w:p/>
    <w:p>
      <w:r>
        <w:br w:type="page"/>
      </w:r>
    </w:p>
    <w:p>
      <w:pPr>
        <w:jc w:val="left"/>
      </w:pPr>
      <w:r>
        <w:rPr>
          <w:rFonts w:ascii="標楷體" w:hAnsi="標楷體" w:eastAsia="標楷體"/>
          <w:b/>
          <w:sz w:val="28"/>
        </w:rPr>
        <w:t>附件：本期影片完整清單（共 40 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編號</w:t>
            </w:r>
          </w:p>
        </w:tc>
        <w:tc>
          <w:tcPr>
            <w:tcW w:type="dxa" w:w="1824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發布日期</w:t>
            </w:r>
          </w:p>
        </w:tc>
        <w:tc>
          <w:tcPr>
            <w:tcW w:type="dxa" w:w="1824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影片標題</w:t>
            </w:r>
          </w:p>
        </w:tc>
        <w:tc>
          <w:tcPr>
            <w:tcW w:type="dxa" w:w="1824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平台</w:t>
            </w:r>
          </w:p>
        </w:tc>
        <w:tc>
          <w:tcPr>
            <w:tcW w:type="dxa" w:w="1824"/>
            <w:shd w:val="clear" w:color="auto" w:fill="BFBFBF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主題類別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2025-09-07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腎友控水陷阱多！隱藏水分害你狂超標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2025-09-14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腎友傷口拖久恐截肢！醫師警告這3種狀況快看醫生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2025-09-21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洗腎不能運動？醫師打臉！腎友運動3秘訣公開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2025-09-28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腎友沒打這3種疫苗，住院率恐飆好幾倍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2025-10-05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洗腎廔管出現這些異常快送醫！3招教你判斷自救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2025-10-12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腎友怕跌倒？肌肉別廢掉！這些運動躺著輕鬆做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2025-10-19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藥師警告最傷腎的三種藥物！腎臟病千萬別碰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2025-10-26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慢性腎臟病分五期，你有這些症狀嗎？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2025-11-02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腎友每天1分鐘平衡動作，遠離跌倒骨折危機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2025-11-09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再拖就要洗腎了！出現這些症狀請火速看醫生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2025-11-16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腎臟功能差就會貧血？搞懂腎性貧血2大主因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2025-11-23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洗腎後全身痠痛抽筋？都是水分和體重沒控制好！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13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2025-12-07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腎臟病骨折風險是一般人2-3倍！骨質疏鬆嚴重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2025-12-14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腎臟不好其實吃植物蛋白其實更安全！一天要吃多少蛋白質？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2025-12-21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在家量血壓怎麼量才準？教你量出正確數字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其他衛教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2025-12-28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洗腎時突然不舒服？別硬撐！這3個信號是昏迷前的最後警告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2026-01-04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繼續吃這3種外食，你的腎要受不了了...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2026-01-11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腎功能報告紅字怎麼辦？醫師教你1分鐘抓出致命紅字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19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2026-01-18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憋太久了！腎友想出國？做到這 3 點真的不難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2026-01-25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醫師警告：腎臟壞了，心臟也會跟著出事！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2026-02-01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免費肺癌篩檢開放了！肺癌早期不一定會咳嗽喔～快檢查起來！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2026-02-08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健檢報告有「毛玻璃」是肺癌嗎？醫師教你判斷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23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2026-02-22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高齡、偏鄉無法看醫生...台中慈濟中醫師暖心任務公開💗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2026-03-01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皮膚癢、濕疹反覆發作，問題可能不在皮膚？醫師揭背後警訊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其他衛教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2026-03-04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膽囊切除後狂拉肚子怎麼辦？中醫教你超實用穴位！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肺癌 vs 肺腺癌差在哪？90%的人都搞錯了！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2026-03-11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肺癌能不能開刀？醫師講清楚3判斷條件！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2026-03-15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食道癌高風險族群！3個習慣很多人每天都在做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食道癌衛教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2026-03-18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確定罹患食道癌，拜託先做完這3個救命檢查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食道癌衛教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2026-03-22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手術後痛到想哭？9成人不知道：中醫止痛其實有健保給付！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31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2026-03-25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臉歪、喝水會漏，可能不是中風！臉癱瘓了千萬不要拖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其他衛教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2026-03-29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肩頸痛、五十肩、筋膜炎、坐骨神經痛？這支小針挑一下就鬆了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33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2026-04-05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上班族、熬夜仔最需要學會這9個穴位，按完眼睛秒放鬆！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壓力大常失眠？捏一捏這三個穴道，焦慮感竟然消失了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35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2026-04-12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肺癌手術新選擇！微創傷口3公分、隔天就能下床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2026-04-15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肺癌手術一定要選最貴的？翁醫師教你不選貴的、選對的！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肺癌衛教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37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2026-04-19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化療噁心想吐怎麼辦？按內關穴快速緩解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腫瘤照護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2026-04-22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肚子脹、排便不順、吃益生菌也沒用？中醫快速排氣排便技巧！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中醫保健</w:t>
            </w:r>
          </w:p>
        </w:tc>
      </w:tr>
      <w:tr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39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2026-04-26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小孩尿尿會痛？出現這三個警訊絕對不能等，以免傷及腎臟！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Facebook+YouTube</w:t>
            </w:r>
          </w:p>
        </w:tc>
        <w:tc>
          <w:tcPr>
            <w:tcW w:type="dxa" w:w="1824"/>
            <w:shd w:val="clear" w:color="auto" w:fill="F5F5F5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40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2026-04-29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0"/>
              </w:rPr>
              <w:t>產檢發現寶寶水腎怎麼辦？爸媽一定要懂一個警訊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YouTube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0"/>
              </w:rPr>
              <w:t>腎臟病衛教</w:t>
            </w:r>
          </w:p>
        </w:tc>
      </w:tr>
    </w:tbl>
    <w:p/>
    <w:p>
      <w:r>
        <w:rPr>
          <w:rFonts w:ascii="標楷體" w:hAnsi="標楷體" w:eastAsia="標楷體"/>
          <w:b/>
          <w:sz w:val="32"/>
        </w:rPr>
        <w:t>附錄一：Top 5 / Bottom 5 深度檢討</w:t>
      </w:r>
    </w:p>
    <w:p>
      <w:r>
        <w:rPr>
          <w:rFonts w:ascii="標楷體" w:hAnsi="標楷體" w:eastAsia="標楷體"/>
          <w:b w:val="0"/>
          <w:sz w:val="28"/>
        </w:rPr>
        <w:t>（資料來源：本院短影音週報系統，截至民國 115 年 5 月 13 日；逐字稿由 yt-dlp 自動擷取，內容分析由公傳室執行。）</w:t>
      </w:r>
    </w:p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一、排名一覽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本檢討選取互動率（ER）最高之前 5 名與最低之後 5 名共 10 支影片，逐支進行內容、開頭、結構、目標受眾與呼籲動作（CTA）之比對分析。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排名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影片標題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互動率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累計觀看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洗腎不能運動？醫師打臉！腎友運動 3 秘訣公開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5.13%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6.2 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小孩尿尿會痛？出現這三個警訊絕對不能等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4.81%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1.9 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腎友傷口拖久恐截肢！醫師警告這 3 種狀況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4.78%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2.1 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4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手術後痛到想哭？9 成人不知道：中醫止痛健保有給付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4.09%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5.2 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壓力大常失眠？捏一捏這三個穴道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3.59%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2.8 千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36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藥師警告最傷腎的三種藥物！腎臟病千萬別碰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0.85%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5.4 萬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37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免費肺癌篩檢開放了！肺癌早期不一定會咳嗽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0.79%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2.0 萬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38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在家量血壓怎麼量才準？教你量出正確數字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0.78%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16.8 萬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39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健檢報告有「毛玻璃」是肺癌嗎？醫師教你判斷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0.70%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8.0 萬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40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腎功能報告紅字怎麼辦？醫師教你 1 分鐘抓出致命紅字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0.67%</w:t>
            </w:r>
          </w:p>
        </w:tc>
        <w:tc>
          <w:tcPr>
            <w:tcW w:type="dxa" w:w="2280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38.4 萬</w:t>
            </w:r>
          </w:p>
        </w:tc>
      </w:tr>
    </w:tbl>
    <w:p>
      <w:r>
        <w:rPr>
          <w:rFonts w:ascii="標楷體" w:hAnsi="標楷體" w:eastAsia="標楷體"/>
          <w:b w:val="0"/>
          <w:sz w:val="28"/>
        </w:rPr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關鍵觀察：後 5 名雖觀看數普遍達數萬甚至 38 萬，但互動率僅 0.67~0.85%；前 5 名觀看數雖僅數千，互動率卻達 3.59~5.13%，相差近 6 倍。此現象說明 YouTube／Facebook 演算法之「觸及廣度」與「真實影響力」並非正相關，後續評核應以互動率為核心指標。</w:t>
      </w:r>
    </w:p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二、前 5 名共通成功因素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（一）開頭採「破除誤解」式 Hook（前 3 秒鎖住注意力）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全部 5 支影片開場均採用「你以為 X，錯！」之打臉句型，例如：「你以為腎臟不好就不能運動嗎？」、「9 成人不知道」、「家長以為只是尿布疹⋯⋯其實是泌尿道感染警訊」。此種開頭可在前 3 秒鎖住目標受眾注意力，避免被演算法判定為「滑過」。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（二）影片內容嚴守「3 點結構」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五支影片皆採用「3 秘訣／3 警訊／3 狀況／3 穴位」之結構化敘事，並於影片結尾複習一次重點。此結構符合短影音受眾記憶上限，可記、可分享、可立即應用。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（三）目標受眾（TA）精準且具備即刻焦慮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Rank 1、3：腎友本人（現役洗腎或慢性腎病患者）。Rank 2：嬰幼兒家長（夜間焦慮高、社群分享意願強）。Rank 4：剛動完手術或家屬。Rank 5：工作壓力大、失眠族群。共同特徵為「觀看當下即有需求」，因此完播率與互動率同步拉高。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（四）結尾具備明確 CTA（呼籲動作）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Rank 4 結尾：「幫我按讚，也分享給朋友知道」。Rank 5 結尾：「按收藏，快把影片轉給每天喊爆炸的同事、朋友們」。明確要求動作之結尾可直接拉抬互動率 20~30%。</w:t>
      </w:r>
    </w:p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三、後 5 名共通失敗點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（一）開頭採「教學式」而非「打臉式」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Rank 38：「先別緊張，坐著歇一歇」。Rank 40：「報告一堆數字誰看得懂啊？我教你」。此類開頭呈現上課語感，演算法易判定為「課程內容」並推送給「想學東西」之少數族群，導致互動率偏低。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（二）情緒鉤子薄弱、訊息調性過於正向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前 5 名出現「截肢」、「痛到想哭」、「爆炸」、「絕對不能等」等強烈情緒詞；後 5 名則為「人最棒」、「血壓穩」、「人財旺」等溫和正向用語，缺乏觸發焦慮之動能。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（三）演算法「觸及不對的池子」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Rank 40「腎功能紅字」38.4 萬觀看，但因主題關鍵字熱度高，演算法將影片推送予非腎臟病患者之大量路人，路人滑過不互動，導致互動率拉低至 0.67%。此即「高觸及、低影響」之典型樣態。</w:t>
      </w:r>
    </w:p>
    <w:p>
      <w:pPr>
        <w:ind w:firstLine="560"/>
      </w:pPr>
      <w:r>
        <w:rPr>
          <w:rFonts w:ascii="標楷體" w:hAnsi="標楷體" w:eastAsia="標楷體"/>
          <w:b/>
          <w:sz w:val="28"/>
        </w:rPr>
        <w:t>（四）部分影片無字幕、無聲狀態無法觀看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經技術側驗證，Rank 37、39 兩支影片於 YouTube 平台無 zh-TW 字幕資料，意即影片本身未上字幕條。短影音平台用戶逾 7 成於無聲狀態下滑動觀看，無字幕等同於放棄此族群。</w:t>
      </w:r>
    </w:p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四、核心結論（建議於院務會議陳報）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本期短影音整體觀看達 107.6 萬，數字看似亮眼，惟前 10 名單支最高觀看（38.4 萬）反而落於互動率墊底，說明「高觀看 ≠ 高影響力」。真正觸動目標受眾、可建立病人黏著度之影片，為觀看僅 6.2 千、互動率 5.13% 之「腎友運動 3 秘訣」。</w:t>
      </w:r>
    </w:p>
    <w:p>
      <w:r>
        <w:rPr>
          <w:rFonts w:ascii="標楷體" w:hAnsi="標楷體" w:eastAsia="標楷體"/>
          <w:b w:val="0"/>
          <w:sz w:val="28"/>
        </w:rPr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建議下半年外包廠商評核改採以互動率（ER）為主、觀看數為輔之指標，並將「打臉式開頭、3 點結構、字幕齊備、明確 CTA」等四項要件列為合約必要條款。</w:t>
      </w:r>
    </w:p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五、給廠商之具體要求（建議納入下期採購合約）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項目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具體要求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/>
                <w:sz w:val="28"/>
              </w:rPr>
              <w:t>評核方式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開頭結構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前 3 秒須採「打臉式」開頭，例「你以為⋯」、「9 成人不知道⋯」、「醫師警告⋯」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上線前每支腳本需經公傳室審核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內容結構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嚴格採 3 點結構，影片末尾須複習一次重點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同上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字幕條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全片必須上中文字幕條，無聲觀看亦可理解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上線後驗收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結尾 CTA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影片末段須明確要求按讚／分享／收藏（擇一以上）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上線後驗收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互動率門檻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每季 60% 影片互動率須達 2.0% 以上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季末成效檢視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CPM 門檻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每千次觀看成本不得高於 NT$250</w:t>
            </w:r>
          </w:p>
        </w:tc>
        <w:tc>
          <w:tcPr>
            <w:tcW w:type="dxa" w:w="3041"/>
          </w:tcPr>
          <w:p>
            <w:r/>
            <w:r>
              <w:rPr>
                <w:rFonts w:ascii="標楷體" w:hAnsi="標楷體" w:eastAsia="標楷體"/>
                <w:b w:val="0"/>
                <w:sz w:val="28"/>
              </w:rPr>
              <w:t>季末成效檢視</w:t>
            </w:r>
          </w:p>
        </w:tc>
      </w:tr>
    </w:tbl>
    <w:p>
      <w:r>
        <w:rPr>
          <w:rFonts w:ascii="標楷體" w:hAnsi="標楷體" w:eastAsia="標楷體"/>
          <w:b w:val="0"/>
          <w:sz w:val="28"/>
        </w:rPr>
      </w:r>
    </w:p>
    <w:p>
      <w:r>
        <w:rPr>
          <w:rFonts w:ascii="標楷體" w:hAnsi="標楷體" w:eastAsia="標楷體"/>
          <w:b/>
          <w:sz w:val="28"/>
        </w:rPr>
        <w:t>六、後 5 名影片之補救處理建議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（一）Rank 38「在家量血壓」與 Rank 40「腎功能紅字」題材本身具價值，惟開頭錯位。建議以同素材重剪：</w:t>
      </w:r>
    </w:p>
    <w:p>
      <w:pPr>
        <w:ind w:firstLine="1120"/>
      </w:pPr>
      <w:r>
        <w:rPr>
          <w:rFonts w:ascii="標楷體" w:hAnsi="標楷體" w:eastAsia="標楷體"/>
          <w:b w:val="0"/>
          <w:sz w:val="28"/>
        </w:rPr>
        <w:t>1. Rank 38 重命名為「9 成人血壓都量錯！這 3 個錯誤你天天在犯」。</w:t>
      </w:r>
    </w:p>
    <w:p>
      <w:pPr>
        <w:ind w:firstLine="1120"/>
      </w:pPr>
      <w:r>
        <w:rPr>
          <w:rFonts w:ascii="標楷體" w:hAnsi="標楷體" w:eastAsia="標楷體"/>
          <w:b w:val="0"/>
          <w:sz w:val="28"/>
        </w:rPr>
        <w:t>2. Rank 40 重命名為「這 3 個紅字千萬別忽略！晚一年差別在洗不洗腎」。</w:t>
      </w:r>
    </w:p>
    <w:p>
      <w:pPr>
        <w:ind w:firstLine="560"/>
      </w:pPr>
      <w:r>
        <w:rPr>
          <w:rFonts w:ascii="標楷體" w:hAnsi="標楷體" w:eastAsia="標楷體"/>
          <w:b w:val="0"/>
          <w:sz w:val="28"/>
        </w:rPr>
        <w:t>（二）Rank 37「肺癌篩檢」與 Rank 39「毛玻璃」之目標受眾為 50 歲以上重度吸菸族群，短影音並非該族群主要訊息接收管道。建議停止此類主題之短影音投放，預算改投社區衛教 LINE 群、家醫科候診室電視等通路，提升觸及效率。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