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6F042A9" w14:textId="77777777" w:rsidR="001D5351" w:rsidRDefault="00000000">
      <w:pPr>
        <w:pStyle w:val="a3"/>
      </w:pPr>
      <w:r>
        <w:t>公民與社會</w:t>
      </w:r>
      <w:r>
        <w:t xml:space="preserve"> </w:t>
      </w:r>
      <w:r>
        <w:t>第一至第六課專有名詞定義總表</w:t>
      </w:r>
    </w:p>
    <w:p w14:paraId="2A3A413C" w14:textId="77777777" w:rsidR="001D5351" w:rsidRDefault="00000000">
      <w:r>
        <w:t>依題庫核心概念與課本相關概念擴充整理，共</w:t>
      </w:r>
      <w:r>
        <w:t xml:space="preserve"> 128 </w:t>
      </w:r>
      <w:r>
        <w:t>個專有名詞。</w:t>
      </w:r>
    </w:p>
    <w:p w14:paraId="17E56D98" w14:textId="77777777" w:rsidR="001D5351" w:rsidRDefault="00000000">
      <w:pPr>
        <w:pStyle w:val="1"/>
      </w:pPr>
      <w:r>
        <w:t>第一課</w:t>
      </w:r>
      <w:r>
        <w:t xml:space="preserve"> </w:t>
      </w:r>
      <w:r>
        <w:t>成為現代社會的公民（</w:t>
      </w:r>
      <w:r>
        <w:t xml:space="preserve">21 </w:t>
      </w:r>
      <w:r>
        <w:t>個）</w:t>
      </w:r>
    </w:p>
    <w:tbl>
      <w:tblPr>
        <w:tblW w:w="0" w:type="auto"/>
        <w:tblInd w:w="10" w:type="dxa"/>
        <w:tblBorders>
          <w:top w:val="single" w:sz="8" w:space="0" w:color="666666"/>
          <w:left w:val="single" w:sz="8" w:space="0" w:color="666666"/>
          <w:bottom w:val="single" w:sz="8" w:space="0" w:color="666666"/>
          <w:right w:val="single" w:sz="8" w:space="0" w:color="666666"/>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800"/>
        <w:gridCol w:w="6600"/>
      </w:tblGrid>
      <w:tr w:rsidR="001D5351" w14:paraId="211B67BA" w14:textId="77777777">
        <w:tblPrEx>
          <w:tblCellMar>
            <w:top w:w="0" w:type="dxa"/>
            <w:bottom w:w="0" w:type="dxa"/>
          </w:tblCellMar>
        </w:tblPrEx>
        <w:tc>
          <w:tcPr>
            <w:tcW w:w="2800" w:type="dxa"/>
            <w:shd w:val="clear" w:color="auto" w:fill="D9EAF7"/>
          </w:tcPr>
          <w:p w14:paraId="57AA2F0B" w14:textId="77777777" w:rsidR="001D5351" w:rsidRDefault="00000000">
            <w:r>
              <w:rPr>
                <w:b/>
              </w:rPr>
              <w:t>專有名詞</w:t>
            </w:r>
          </w:p>
        </w:tc>
        <w:tc>
          <w:tcPr>
            <w:tcW w:w="6600" w:type="dxa"/>
            <w:shd w:val="clear" w:color="auto" w:fill="D9EAF7"/>
          </w:tcPr>
          <w:p w14:paraId="36DB9622" w14:textId="77777777" w:rsidR="001D5351" w:rsidRDefault="00000000">
            <w:r>
              <w:rPr>
                <w:b/>
              </w:rPr>
              <w:t>定義</w:t>
            </w:r>
          </w:p>
        </w:tc>
      </w:tr>
      <w:tr w:rsidR="001D5351" w14:paraId="3B104DA5" w14:textId="77777777">
        <w:tblPrEx>
          <w:tblCellMar>
            <w:top w:w="0" w:type="dxa"/>
            <w:bottom w:w="0" w:type="dxa"/>
          </w:tblCellMar>
        </w:tblPrEx>
        <w:tc>
          <w:tcPr>
            <w:tcW w:w="2800" w:type="dxa"/>
          </w:tcPr>
          <w:p w14:paraId="33670816" w14:textId="77777777" w:rsidR="001D5351" w:rsidRDefault="00000000">
            <w:r>
              <w:t>公民</w:t>
            </w:r>
          </w:p>
        </w:tc>
        <w:tc>
          <w:tcPr>
            <w:tcW w:w="6600" w:type="dxa"/>
          </w:tcPr>
          <w:p w14:paraId="12AE12B4" w14:textId="77777777" w:rsidR="001D5351" w:rsidRDefault="00000000">
            <w:r>
              <w:t>在政治共同體中具有權利與義務的成員。現代公民不只是被統治者，也能透過參政、監督與公共參與影響國家治理。</w:t>
            </w:r>
          </w:p>
        </w:tc>
      </w:tr>
      <w:tr w:rsidR="001D5351" w14:paraId="33F4FBA7" w14:textId="77777777">
        <w:tblPrEx>
          <w:tblCellMar>
            <w:top w:w="0" w:type="dxa"/>
            <w:bottom w:w="0" w:type="dxa"/>
          </w:tblCellMar>
        </w:tblPrEx>
        <w:tc>
          <w:tcPr>
            <w:tcW w:w="2800" w:type="dxa"/>
          </w:tcPr>
          <w:p w14:paraId="7B7F8D00" w14:textId="77777777" w:rsidR="001D5351" w:rsidRDefault="00000000">
            <w:r>
              <w:t>公民身分</w:t>
            </w:r>
          </w:p>
        </w:tc>
        <w:tc>
          <w:tcPr>
            <w:tcW w:w="6600" w:type="dxa"/>
          </w:tcPr>
          <w:p w14:paraId="675145F0" w14:textId="77777777" w:rsidR="001D5351" w:rsidRDefault="00000000">
            <w:r>
              <w:t>個人在國家或政治共同體中所具備的成員資格，包含可享有的權利、應承擔的義務，以及參與公共生活的地位。</w:t>
            </w:r>
          </w:p>
        </w:tc>
      </w:tr>
      <w:tr w:rsidR="001D5351" w14:paraId="25BE7FC1" w14:textId="77777777">
        <w:tblPrEx>
          <w:tblCellMar>
            <w:top w:w="0" w:type="dxa"/>
            <w:bottom w:w="0" w:type="dxa"/>
          </w:tblCellMar>
        </w:tblPrEx>
        <w:tc>
          <w:tcPr>
            <w:tcW w:w="2800" w:type="dxa"/>
          </w:tcPr>
          <w:p w14:paraId="59715F9C" w14:textId="77777777" w:rsidR="001D5351" w:rsidRDefault="00000000">
            <w:r>
              <w:t>天賦人權</w:t>
            </w:r>
          </w:p>
        </w:tc>
        <w:tc>
          <w:tcPr>
            <w:tcW w:w="6600" w:type="dxa"/>
          </w:tcPr>
          <w:p w14:paraId="6D6DBB7C" w14:textId="77777777" w:rsidR="001D5351" w:rsidRDefault="00000000">
            <w:r>
              <w:t>人因為身而為人即具有的基本權利，不是由君主或政府恩賜；政府存在的正當性在於保障這些權利。</w:t>
            </w:r>
          </w:p>
        </w:tc>
      </w:tr>
      <w:tr w:rsidR="001D5351" w14:paraId="135B6E94" w14:textId="77777777">
        <w:tblPrEx>
          <w:tblCellMar>
            <w:top w:w="0" w:type="dxa"/>
            <w:bottom w:w="0" w:type="dxa"/>
          </w:tblCellMar>
        </w:tblPrEx>
        <w:tc>
          <w:tcPr>
            <w:tcW w:w="2800" w:type="dxa"/>
          </w:tcPr>
          <w:p w14:paraId="1837E4C2" w14:textId="77777777" w:rsidR="001D5351" w:rsidRDefault="00000000">
            <w:r>
              <w:t>自然權利說</w:t>
            </w:r>
          </w:p>
        </w:tc>
        <w:tc>
          <w:tcPr>
            <w:tcW w:w="6600" w:type="dxa"/>
          </w:tcPr>
          <w:p w14:paraId="334FB18E" w14:textId="77777777" w:rsidR="001D5351" w:rsidRDefault="00000000">
            <w:r>
              <w:t>洛克主張人天生具有生命、自由、財產等自然權利，任何人或政府都不能任意侵犯；政府統治必須取得人民同意並保障這些權利。</w:t>
            </w:r>
          </w:p>
        </w:tc>
      </w:tr>
      <w:tr w:rsidR="001D5351" w14:paraId="4BAB2C22" w14:textId="77777777">
        <w:tblPrEx>
          <w:tblCellMar>
            <w:top w:w="0" w:type="dxa"/>
            <w:bottom w:w="0" w:type="dxa"/>
          </w:tblCellMar>
        </w:tblPrEx>
        <w:tc>
          <w:tcPr>
            <w:tcW w:w="2800" w:type="dxa"/>
          </w:tcPr>
          <w:p w14:paraId="35ADDD03" w14:textId="77777777" w:rsidR="001D5351" w:rsidRDefault="00000000">
            <w:r>
              <w:t>社會契約論</w:t>
            </w:r>
          </w:p>
        </w:tc>
        <w:tc>
          <w:tcPr>
            <w:tcW w:w="6600" w:type="dxa"/>
          </w:tcPr>
          <w:p w14:paraId="6A048D3C" w14:textId="77777777" w:rsidR="001D5351" w:rsidRDefault="00000000">
            <w:r>
              <w:t>盧梭主張個人自願將自然權利交付政府，以換取政府保障個人權利；政府權力來自人民同意，並應以公共意志與公平正義為基礎。</w:t>
            </w:r>
          </w:p>
        </w:tc>
      </w:tr>
      <w:tr w:rsidR="001D5351" w14:paraId="0A43E134" w14:textId="77777777">
        <w:tblPrEx>
          <w:tblCellMar>
            <w:top w:w="0" w:type="dxa"/>
            <w:bottom w:w="0" w:type="dxa"/>
          </w:tblCellMar>
        </w:tblPrEx>
        <w:tc>
          <w:tcPr>
            <w:tcW w:w="2800" w:type="dxa"/>
          </w:tcPr>
          <w:p w14:paraId="00C8FF6E" w14:textId="77777777" w:rsidR="001D5351" w:rsidRDefault="00000000">
            <w:r>
              <w:t>主權在民</w:t>
            </w:r>
          </w:p>
        </w:tc>
        <w:tc>
          <w:tcPr>
            <w:tcW w:w="6600" w:type="dxa"/>
          </w:tcPr>
          <w:p w14:paraId="39FBC1BA" w14:textId="77777777" w:rsidR="001D5351" w:rsidRDefault="00000000">
            <w:r>
              <w:t>國家最高權力屬於全體人民，政府權力來自人民授權，人民可透過選舉、監督與公共參與落實國家主人的地位。</w:t>
            </w:r>
          </w:p>
        </w:tc>
      </w:tr>
      <w:tr w:rsidR="001D5351" w14:paraId="708FDA1E" w14:textId="77777777">
        <w:tblPrEx>
          <w:tblCellMar>
            <w:top w:w="0" w:type="dxa"/>
            <w:bottom w:w="0" w:type="dxa"/>
          </w:tblCellMar>
        </w:tblPrEx>
        <w:tc>
          <w:tcPr>
            <w:tcW w:w="2800" w:type="dxa"/>
          </w:tcPr>
          <w:p w14:paraId="692344A8" w14:textId="77777777" w:rsidR="001D5351" w:rsidRDefault="00000000">
            <w:r>
              <w:t>消極的個人權利</w:t>
            </w:r>
          </w:p>
        </w:tc>
        <w:tc>
          <w:tcPr>
            <w:tcW w:w="6600" w:type="dxa"/>
          </w:tcPr>
          <w:p w14:paraId="090DC6CA" w14:textId="77777777" w:rsidR="001D5351" w:rsidRDefault="00000000">
            <w:r>
              <w:t>要求國家不得任意侵犯人民自由的權利，例如生命權、人身自由、言論自由、集會結社自由與財產權保障。</w:t>
            </w:r>
          </w:p>
        </w:tc>
      </w:tr>
      <w:tr w:rsidR="001D5351" w14:paraId="19F7B97A" w14:textId="77777777">
        <w:tblPrEx>
          <w:tblCellMar>
            <w:top w:w="0" w:type="dxa"/>
            <w:bottom w:w="0" w:type="dxa"/>
          </w:tblCellMar>
        </w:tblPrEx>
        <w:tc>
          <w:tcPr>
            <w:tcW w:w="2800" w:type="dxa"/>
          </w:tcPr>
          <w:p w14:paraId="6E634793" w14:textId="77777777" w:rsidR="001D5351" w:rsidRDefault="00000000">
            <w:r>
              <w:t>積極的個人權利</w:t>
            </w:r>
          </w:p>
        </w:tc>
        <w:tc>
          <w:tcPr>
            <w:tcW w:w="6600" w:type="dxa"/>
          </w:tcPr>
          <w:p w14:paraId="71BDD094" w14:textId="77777777" w:rsidR="001D5351" w:rsidRDefault="00000000">
            <w:r>
              <w:t>要求政府積極提供制度或資源保障人民生活的權利，重點不只是避免侵害，也要協助人民維持基本尊嚴。</w:t>
            </w:r>
          </w:p>
        </w:tc>
      </w:tr>
      <w:tr w:rsidR="001D5351" w14:paraId="40394F2B" w14:textId="77777777">
        <w:tblPrEx>
          <w:tblCellMar>
            <w:top w:w="0" w:type="dxa"/>
            <w:bottom w:w="0" w:type="dxa"/>
          </w:tblCellMar>
        </w:tblPrEx>
        <w:tc>
          <w:tcPr>
            <w:tcW w:w="2800" w:type="dxa"/>
          </w:tcPr>
          <w:p w14:paraId="4F932C99" w14:textId="77777777" w:rsidR="001D5351" w:rsidRDefault="00000000">
            <w:r>
              <w:t>社會權</w:t>
            </w:r>
          </w:p>
        </w:tc>
        <w:tc>
          <w:tcPr>
            <w:tcW w:w="6600" w:type="dxa"/>
          </w:tcPr>
          <w:p w14:paraId="5C22DB06" w14:textId="77777777" w:rsidR="001D5351" w:rsidRDefault="00000000">
            <w:r>
              <w:t>積極個人權利的一種，要求政府提供最低限度生活保障，落實工作權、生存權、社會保險、社會福利與受教育等權利。</w:t>
            </w:r>
          </w:p>
        </w:tc>
      </w:tr>
      <w:tr w:rsidR="001D5351" w14:paraId="40BF4F2E" w14:textId="77777777">
        <w:tblPrEx>
          <w:tblCellMar>
            <w:top w:w="0" w:type="dxa"/>
            <w:bottom w:w="0" w:type="dxa"/>
          </w:tblCellMar>
        </w:tblPrEx>
        <w:tc>
          <w:tcPr>
            <w:tcW w:w="2800" w:type="dxa"/>
          </w:tcPr>
          <w:p w14:paraId="719F043A" w14:textId="77777777" w:rsidR="001D5351" w:rsidRDefault="00000000">
            <w:r>
              <w:t>集體發展的權利</w:t>
            </w:r>
          </w:p>
        </w:tc>
        <w:tc>
          <w:tcPr>
            <w:tcW w:w="6600" w:type="dxa"/>
          </w:tcPr>
          <w:p w14:paraId="7C721C94" w14:textId="77777777" w:rsidR="001D5351" w:rsidRDefault="00000000">
            <w:r>
              <w:t>第二次世界大戰後興起的群體性人權，保障特定群體或全人類共同發展，常見內容包含文化權、發展權與環境權。</w:t>
            </w:r>
          </w:p>
        </w:tc>
      </w:tr>
      <w:tr w:rsidR="001D5351" w14:paraId="72F50A22" w14:textId="77777777">
        <w:tblPrEx>
          <w:tblCellMar>
            <w:top w:w="0" w:type="dxa"/>
            <w:bottom w:w="0" w:type="dxa"/>
          </w:tblCellMar>
        </w:tblPrEx>
        <w:tc>
          <w:tcPr>
            <w:tcW w:w="2800" w:type="dxa"/>
          </w:tcPr>
          <w:p w14:paraId="064D6378" w14:textId="77777777" w:rsidR="001D5351" w:rsidRDefault="00000000">
            <w:r>
              <w:t>文化權</w:t>
            </w:r>
          </w:p>
        </w:tc>
        <w:tc>
          <w:tcPr>
            <w:tcW w:w="6600" w:type="dxa"/>
          </w:tcPr>
          <w:p w14:paraId="61ED9835" w14:textId="77777777" w:rsidR="001D5351" w:rsidRDefault="00000000">
            <w:r>
              <w:t>群體或個人維持、發展與表達自身文化的權利，重視不同族群文化的延續與平等對待。</w:t>
            </w:r>
          </w:p>
        </w:tc>
      </w:tr>
      <w:tr w:rsidR="001D5351" w14:paraId="622E7E21" w14:textId="77777777">
        <w:tblPrEx>
          <w:tblCellMar>
            <w:top w:w="0" w:type="dxa"/>
            <w:bottom w:w="0" w:type="dxa"/>
          </w:tblCellMar>
        </w:tblPrEx>
        <w:tc>
          <w:tcPr>
            <w:tcW w:w="2800" w:type="dxa"/>
          </w:tcPr>
          <w:p w14:paraId="3D92B53C" w14:textId="77777777" w:rsidR="001D5351" w:rsidRDefault="00000000">
            <w:r>
              <w:lastRenderedPageBreak/>
              <w:t>發展權</w:t>
            </w:r>
          </w:p>
        </w:tc>
        <w:tc>
          <w:tcPr>
            <w:tcW w:w="6600" w:type="dxa"/>
          </w:tcPr>
          <w:p w14:paraId="403F9471" w14:textId="77777777" w:rsidR="001D5351" w:rsidRDefault="00000000">
            <w:r>
              <w:t>各族群或人民追求自身經濟、社會與文化發展的權利，強調發展機會不應被不平等結構剝奪。</w:t>
            </w:r>
          </w:p>
        </w:tc>
      </w:tr>
      <w:tr w:rsidR="001D5351" w14:paraId="655A641B" w14:textId="77777777">
        <w:tblPrEx>
          <w:tblCellMar>
            <w:top w:w="0" w:type="dxa"/>
            <w:bottom w:w="0" w:type="dxa"/>
          </w:tblCellMar>
        </w:tblPrEx>
        <w:tc>
          <w:tcPr>
            <w:tcW w:w="2800" w:type="dxa"/>
          </w:tcPr>
          <w:p w14:paraId="2CA991FB" w14:textId="77777777" w:rsidR="001D5351" w:rsidRDefault="00000000">
            <w:r>
              <w:t>環境權</w:t>
            </w:r>
          </w:p>
        </w:tc>
        <w:tc>
          <w:tcPr>
            <w:tcW w:w="6600" w:type="dxa"/>
          </w:tcPr>
          <w:p w14:paraId="0052036F" w14:textId="77777777" w:rsidR="001D5351" w:rsidRDefault="00000000">
            <w:r>
              <w:t>全人類與後代子孫共同享有健康生活環境、拒絕汙染與環境破壞的權利。</w:t>
            </w:r>
          </w:p>
        </w:tc>
      </w:tr>
      <w:tr w:rsidR="001D5351" w14:paraId="427C1341" w14:textId="77777777">
        <w:tblPrEx>
          <w:tblCellMar>
            <w:top w:w="0" w:type="dxa"/>
            <w:bottom w:w="0" w:type="dxa"/>
          </w:tblCellMar>
        </w:tblPrEx>
        <w:tc>
          <w:tcPr>
            <w:tcW w:w="2800" w:type="dxa"/>
          </w:tcPr>
          <w:p w14:paraId="57BF5526" w14:textId="77777777" w:rsidR="001D5351" w:rsidRDefault="00000000">
            <w:r>
              <w:t>國際人權公約</w:t>
            </w:r>
          </w:p>
        </w:tc>
        <w:tc>
          <w:tcPr>
            <w:tcW w:w="6600" w:type="dxa"/>
          </w:tcPr>
          <w:p w14:paraId="623265E6" w14:textId="77777777" w:rsidR="001D5351" w:rsidRDefault="00000000">
            <w:r>
              <w:t>國際社會為保障普世人權而制定的公約規範，透過各國簽署、批准或國內法化，推動人權標準落實。</w:t>
            </w:r>
          </w:p>
        </w:tc>
      </w:tr>
      <w:tr w:rsidR="001D5351" w14:paraId="2D5D2EF6" w14:textId="77777777">
        <w:tblPrEx>
          <w:tblCellMar>
            <w:top w:w="0" w:type="dxa"/>
            <w:bottom w:w="0" w:type="dxa"/>
          </w:tblCellMar>
        </w:tblPrEx>
        <w:tc>
          <w:tcPr>
            <w:tcW w:w="2800" w:type="dxa"/>
          </w:tcPr>
          <w:p w14:paraId="6B208663" w14:textId="77777777" w:rsidR="001D5351" w:rsidRDefault="00000000">
            <w:r>
              <w:t>國內法化</w:t>
            </w:r>
          </w:p>
        </w:tc>
        <w:tc>
          <w:tcPr>
            <w:tcW w:w="6600" w:type="dxa"/>
          </w:tcPr>
          <w:p w14:paraId="59D07674" w14:textId="77777777" w:rsidR="001D5351" w:rsidRDefault="00000000">
            <w:r>
              <w:t>國家透過立法程序將國際人權公約或國際規範轉化為國內法律，使其在國內具有實質拘束力與法律效力。</w:t>
            </w:r>
          </w:p>
        </w:tc>
      </w:tr>
      <w:tr w:rsidR="001D5351" w14:paraId="3EA38E5A" w14:textId="77777777">
        <w:tblPrEx>
          <w:tblCellMar>
            <w:top w:w="0" w:type="dxa"/>
            <w:bottom w:w="0" w:type="dxa"/>
          </w:tblCellMar>
        </w:tblPrEx>
        <w:tc>
          <w:tcPr>
            <w:tcW w:w="2800" w:type="dxa"/>
          </w:tcPr>
          <w:p w14:paraId="6ADF5FA4" w14:textId="77777777" w:rsidR="001D5351" w:rsidRDefault="00000000">
            <w:r>
              <w:t>國家報告</w:t>
            </w:r>
          </w:p>
        </w:tc>
        <w:tc>
          <w:tcPr>
            <w:tcW w:w="6600" w:type="dxa"/>
          </w:tcPr>
          <w:p w14:paraId="16651356" w14:textId="77777777" w:rsidR="001D5351" w:rsidRDefault="00000000">
            <w:r>
              <w:t>政府就國內人權公約落實情形所提出的檢討報告，用於接受人權專家或審查機制評估。</w:t>
            </w:r>
          </w:p>
        </w:tc>
      </w:tr>
      <w:tr w:rsidR="001D5351" w14:paraId="646BFD35" w14:textId="77777777">
        <w:tblPrEx>
          <w:tblCellMar>
            <w:top w:w="0" w:type="dxa"/>
            <w:bottom w:w="0" w:type="dxa"/>
          </w:tblCellMar>
        </w:tblPrEx>
        <w:tc>
          <w:tcPr>
            <w:tcW w:w="2800" w:type="dxa"/>
          </w:tcPr>
          <w:p w14:paraId="2398F0CF" w14:textId="77777777" w:rsidR="001D5351" w:rsidRDefault="00000000">
            <w:r>
              <w:t>影子報告</w:t>
            </w:r>
          </w:p>
        </w:tc>
        <w:tc>
          <w:tcPr>
            <w:tcW w:w="6600" w:type="dxa"/>
          </w:tcPr>
          <w:p w14:paraId="3D5AEE12" w14:textId="77777777" w:rsidR="001D5351" w:rsidRDefault="00000000">
            <w:r>
              <w:t>非政府組織針對人權議題撰寫的補充報告，用以呈現政府報告未揭露的爭議、敏感內容或現實落差。</w:t>
            </w:r>
          </w:p>
        </w:tc>
      </w:tr>
    </w:tbl>
    <w:p w14:paraId="1DDDBDD6" w14:textId="77777777" w:rsidR="001D5351" w:rsidRDefault="001D5351"/>
    <w:p w14:paraId="5EC87D94" w14:textId="77777777" w:rsidR="001D5351" w:rsidRDefault="00000000">
      <w:pPr>
        <w:pStyle w:val="1"/>
      </w:pPr>
      <w:r>
        <w:t>第二課</w:t>
      </w:r>
      <w:r>
        <w:t xml:space="preserve"> </w:t>
      </w:r>
      <w:r>
        <w:t>國家主權與發展（</w:t>
      </w:r>
      <w:r>
        <w:t xml:space="preserve">22 </w:t>
      </w:r>
      <w:r>
        <w:t>個）</w:t>
      </w:r>
    </w:p>
    <w:tbl>
      <w:tblPr>
        <w:tblW w:w="0" w:type="auto"/>
        <w:tblInd w:w="10" w:type="dxa"/>
        <w:tblBorders>
          <w:top w:val="single" w:sz="8" w:space="0" w:color="666666"/>
          <w:left w:val="single" w:sz="8" w:space="0" w:color="666666"/>
          <w:bottom w:val="single" w:sz="8" w:space="0" w:color="666666"/>
          <w:right w:val="single" w:sz="8" w:space="0" w:color="666666"/>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800"/>
        <w:gridCol w:w="6600"/>
      </w:tblGrid>
      <w:tr w:rsidR="001D5351" w14:paraId="62775C42" w14:textId="77777777">
        <w:tblPrEx>
          <w:tblCellMar>
            <w:top w:w="0" w:type="dxa"/>
            <w:bottom w:w="0" w:type="dxa"/>
          </w:tblCellMar>
        </w:tblPrEx>
        <w:tc>
          <w:tcPr>
            <w:tcW w:w="2800" w:type="dxa"/>
            <w:shd w:val="clear" w:color="auto" w:fill="D9EAF7"/>
          </w:tcPr>
          <w:p w14:paraId="4C867181" w14:textId="77777777" w:rsidR="001D5351" w:rsidRDefault="00000000">
            <w:r>
              <w:rPr>
                <w:b/>
              </w:rPr>
              <w:t>專有名詞</w:t>
            </w:r>
          </w:p>
        </w:tc>
        <w:tc>
          <w:tcPr>
            <w:tcW w:w="6600" w:type="dxa"/>
            <w:shd w:val="clear" w:color="auto" w:fill="D9EAF7"/>
          </w:tcPr>
          <w:p w14:paraId="5CBD3A6D" w14:textId="77777777" w:rsidR="001D5351" w:rsidRDefault="00000000">
            <w:r>
              <w:rPr>
                <w:b/>
              </w:rPr>
              <w:t>定義</w:t>
            </w:r>
          </w:p>
        </w:tc>
      </w:tr>
      <w:tr w:rsidR="001D5351" w14:paraId="014260E2" w14:textId="77777777">
        <w:tblPrEx>
          <w:tblCellMar>
            <w:top w:w="0" w:type="dxa"/>
            <w:bottom w:w="0" w:type="dxa"/>
          </w:tblCellMar>
        </w:tblPrEx>
        <w:tc>
          <w:tcPr>
            <w:tcW w:w="2800" w:type="dxa"/>
          </w:tcPr>
          <w:p w14:paraId="6D10F857" w14:textId="77777777" w:rsidR="001D5351" w:rsidRDefault="00000000">
            <w:r>
              <w:t>主權</w:t>
            </w:r>
          </w:p>
        </w:tc>
        <w:tc>
          <w:tcPr>
            <w:tcW w:w="6600" w:type="dxa"/>
          </w:tcPr>
          <w:p w14:paraId="3F141A51" w14:textId="77777777" w:rsidR="001D5351" w:rsidRDefault="00000000">
            <w:r>
              <w:t>國家對其管轄區域所擁有至高無上且具排他性的政治權力，可分為對內主權與對外主權。</w:t>
            </w:r>
          </w:p>
        </w:tc>
      </w:tr>
      <w:tr w:rsidR="001D5351" w14:paraId="39FACB84" w14:textId="77777777">
        <w:tblPrEx>
          <w:tblCellMar>
            <w:top w:w="0" w:type="dxa"/>
            <w:bottom w:w="0" w:type="dxa"/>
          </w:tblCellMar>
        </w:tblPrEx>
        <w:tc>
          <w:tcPr>
            <w:tcW w:w="2800" w:type="dxa"/>
          </w:tcPr>
          <w:p w14:paraId="63894CA3" w14:textId="77777777" w:rsidR="001D5351" w:rsidRDefault="00000000">
            <w:r>
              <w:t>對內最高性</w:t>
            </w:r>
          </w:p>
        </w:tc>
        <w:tc>
          <w:tcPr>
            <w:tcW w:w="6600" w:type="dxa"/>
          </w:tcPr>
          <w:p w14:paraId="254DEFF2" w14:textId="77777777" w:rsidR="001D5351" w:rsidRDefault="00000000">
            <w:r>
              <w:t>對內主權的特性，指國家在領土內具有最高政治權力，不受國內其他勢力挑戰。</w:t>
            </w:r>
          </w:p>
        </w:tc>
      </w:tr>
      <w:tr w:rsidR="001D5351" w14:paraId="1433B839" w14:textId="77777777">
        <w:tblPrEx>
          <w:tblCellMar>
            <w:top w:w="0" w:type="dxa"/>
            <w:bottom w:w="0" w:type="dxa"/>
          </w:tblCellMar>
        </w:tblPrEx>
        <w:tc>
          <w:tcPr>
            <w:tcW w:w="2800" w:type="dxa"/>
          </w:tcPr>
          <w:p w14:paraId="1F6E64F3" w14:textId="77777777" w:rsidR="001D5351" w:rsidRDefault="00000000">
            <w:r>
              <w:t>對外獨立性</w:t>
            </w:r>
          </w:p>
        </w:tc>
        <w:tc>
          <w:tcPr>
            <w:tcW w:w="6600" w:type="dxa"/>
          </w:tcPr>
          <w:p w14:paraId="69238F0C" w14:textId="77777777" w:rsidR="001D5351" w:rsidRDefault="00000000">
            <w:r>
              <w:t>對外主權的特性，指國家在國際上不受他國支配，能自主處理外交與國內事務。</w:t>
            </w:r>
          </w:p>
        </w:tc>
      </w:tr>
      <w:tr w:rsidR="001D5351" w14:paraId="022C1767" w14:textId="77777777">
        <w:tblPrEx>
          <w:tblCellMar>
            <w:top w:w="0" w:type="dxa"/>
            <w:bottom w:w="0" w:type="dxa"/>
          </w:tblCellMar>
        </w:tblPrEx>
        <w:tc>
          <w:tcPr>
            <w:tcW w:w="2800" w:type="dxa"/>
          </w:tcPr>
          <w:p w14:paraId="164C21C2" w14:textId="77777777" w:rsidR="001D5351" w:rsidRDefault="00000000">
            <w:r>
              <w:t>國家認同</w:t>
            </w:r>
          </w:p>
        </w:tc>
        <w:tc>
          <w:tcPr>
            <w:tcW w:w="6600" w:type="dxa"/>
          </w:tcPr>
          <w:p w14:paraId="01B7C5CE" w14:textId="77777777" w:rsidR="001D5351" w:rsidRDefault="00000000">
            <w:r>
              <w:t>人民對自己屬於哪一個國家或政治共同體的認知、情感與歸屬感。</w:t>
            </w:r>
          </w:p>
        </w:tc>
      </w:tr>
      <w:tr w:rsidR="001D5351" w14:paraId="2E9CE64A" w14:textId="77777777">
        <w:tblPrEx>
          <w:tblCellMar>
            <w:top w:w="0" w:type="dxa"/>
            <w:bottom w:w="0" w:type="dxa"/>
          </w:tblCellMar>
        </w:tblPrEx>
        <w:tc>
          <w:tcPr>
            <w:tcW w:w="2800" w:type="dxa"/>
          </w:tcPr>
          <w:p w14:paraId="708A7A4C" w14:textId="77777777" w:rsidR="001D5351" w:rsidRDefault="00000000">
            <w:r>
              <w:t>想像的共同體</w:t>
            </w:r>
          </w:p>
        </w:tc>
        <w:tc>
          <w:tcPr>
            <w:tcW w:w="6600" w:type="dxa"/>
          </w:tcPr>
          <w:p w14:paraId="0B82A913" w14:textId="77777777" w:rsidR="001D5351" w:rsidRDefault="00000000">
            <w:r>
              <w:t>班奈狄克・安德森提出的概念，指國家或民族認同是由人們想像自己屬於同一群體而形成的集體身分。</w:t>
            </w:r>
          </w:p>
        </w:tc>
      </w:tr>
      <w:tr w:rsidR="001D5351" w14:paraId="72A65C7C" w14:textId="77777777">
        <w:tblPrEx>
          <w:tblCellMar>
            <w:top w:w="0" w:type="dxa"/>
            <w:bottom w:w="0" w:type="dxa"/>
          </w:tblCellMar>
        </w:tblPrEx>
        <w:tc>
          <w:tcPr>
            <w:tcW w:w="2800" w:type="dxa"/>
          </w:tcPr>
          <w:p w14:paraId="543B7B0D" w14:textId="77777777" w:rsidR="001D5351" w:rsidRDefault="00000000">
            <w:r>
              <w:t>自由地區</w:t>
            </w:r>
          </w:p>
        </w:tc>
        <w:tc>
          <w:tcPr>
            <w:tcW w:w="6600" w:type="dxa"/>
          </w:tcPr>
          <w:p w14:paraId="08EC7738" w14:textId="77777777" w:rsidR="001D5351" w:rsidRDefault="00000000">
            <w:r>
              <w:t>我國憲法增修條文中的概念，指目前實質管轄的臺灣、澎湖、金門、馬祖等地。</w:t>
            </w:r>
          </w:p>
        </w:tc>
      </w:tr>
      <w:tr w:rsidR="001D5351" w14:paraId="48AE33CE" w14:textId="77777777">
        <w:tblPrEx>
          <w:tblCellMar>
            <w:top w:w="0" w:type="dxa"/>
            <w:bottom w:w="0" w:type="dxa"/>
          </w:tblCellMar>
        </w:tblPrEx>
        <w:tc>
          <w:tcPr>
            <w:tcW w:w="2800" w:type="dxa"/>
          </w:tcPr>
          <w:p w14:paraId="7336E346" w14:textId="77777777" w:rsidR="001D5351" w:rsidRDefault="00000000">
            <w:r>
              <w:lastRenderedPageBreak/>
              <w:t>大陸地區</w:t>
            </w:r>
          </w:p>
        </w:tc>
        <w:tc>
          <w:tcPr>
            <w:tcW w:w="6600" w:type="dxa"/>
          </w:tcPr>
          <w:p w14:paraId="1BB9F9BB" w14:textId="77777777" w:rsidR="001D5351" w:rsidRDefault="00000000">
            <w:r>
              <w:t>我國憲法增修條文中的概念，指自由地區以外的中華民國領土。</w:t>
            </w:r>
          </w:p>
        </w:tc>
      </w:tr>
      <w:tr w:rsidR="001D5351" w14:paraId="6FD7BA3F" w14:textId="77777777">
        <w:tblPrEx>
          <w:tblCellMar>
            <w:top w:w="0" w:type="dxa"/>
            <w:bottom w:w="0" w:type="dxa"/>
          </w:tblCellMar>
        </w:tblPrEx>
        <w:tc>
          <w:tcPr>
            <w:tcW w:w="2800" w:type="dxa"/>
          </w:tcPr>
          <w:p w14:paraId="5E063A81" w14:textId="77777777" w:rsidR="001D5351" w:rsidRDefault="00000000">
            <w:r>
              <w:t>法理主權</w:t>
            </w:r>
          </w:p>
        </w:tc>
        <w:tc>
          <w:tcPr>
            <w:tcW w:w="6600" w:type="dxa"/>
          </w:tcPr>
          <w:p w14:paraId="2FFF4A72" w14:textId="77777777" w:rsidR="001D5351" w:rsidRDefault="00000000">
            <w:r>
              <w:t>憲法或法律上規定主權能夠管轄的範圍，屬於法律規範層面的主權範圍。</w:t>
            </w:r>
          </w:p>
        </w:tc>
      </w:tr>
      <w:tr w:rsidR="001D5351" w14:paraId="30F0CB7E" w14:textId="77777777">
        <w:tblPrEx>
          <w:tblCellMar>
            <w:top w:w="0" w:type="dxa"/>
            <w:bottom w:w="0" w:type="dxa"/>
          </w:tblCellMar>
        </w:tblPrEx>
        <w:tc>
          <w:tcPr>
            <w:tcW w:w="2800" w:type="dxa"/>
          </w:tcPr>
          <w:p w14:paraId="421103FD" w14:textId="77777777" w:rsidR="001D5351" w:rsidRDefault="00000000">
            <w:r>
              <w:t>事實主權</w:t>
            </w:r>
          </w:p>
        </w:tc>
        <w:tc>
          <w:tcPr>
            <w:tcW w:w="6600" w:type="dxa"/>
          </w:tcPr>
          <w:p w14:paraId="21D2D98D" w14:textId="77777777" w:rsidR="001D5351" w:rsidRDefault="00000000">
            <w:r>
              <w:t>實際上政府能有效統治與管轄的範圍，屬於現實政治運作中的主權範圍。</w:t>
            </w:r>
          </w:p>
        </w:tc>
      </w:tr>
      <w:tr w:rsidR="001D5351" w14:paraId="616EAF8B" w14:textId="77777777">
        <w:tblPrEx>
          <w:tblCellMar>
            <w:top w:w="0" w:type="dxa"/>
            <w:bottom w:w="0" w:type="dxa"/>
          </w:tblCellMar>
        </w:tblPrEx>
        <w:tc>
          <w:tcPr>
            <w:tcW w:w="2800" w:type="dxa"/>
          </w:tcPr>
          <w:p w14:paraId="20BB6F60" w14:textId="77777777" w:rsidR="001D5351" w:rsidRDefault="00000000">
            <w:r>
              <w:t>第</w:t>
            </w:r>
            <w:r>
              <w:t>2758</w:t>
            </w:r>
            <w:r>
              <w:t>號決議案</w:t>
            </w:r>
          </w:p>
        </w:tc>
        <w:tc>
          <w:tcPr>
            <w:tcW w:w="6600" w:type="dxa"/>
          </w:tcPr>
          <w:p w14:paraId="51AC7E1B" w14:textId="77777777" w:rsidR="001D5351" w:rsidRDefault="00000000">
            <w:r>
              <w:t xml:space="preserve">1971 </w:t>
            </w:r>
            <w:r>
              <w:t>年聯合國大會通過的決議，承認中華人民共和國為聯合國中唯一合法的中國代表，影響我國國際地位。</w:t>
            </w:r>
          </w:p>
        </w:tc>
      </w:tr>
      <w:tr w:rsidR="001D5351" w14:paraId="20C29077" w14:textId="77777777">
        <w:tblPrEx>
          <w:tblCellMar>
            <w:top w:w="0" w:type="dxa"/>
            <w:bottom w:w="0" w:type="dxa"/>
          </w:tblCellMar>
        </w:tblPrEx>
        <w:tc>
          <w:tcPr>
            <w:tcW w:w="2800" w:type="dxa"/>
          </w:tcPr>
          <w:p w14:paraId="6E514A40" w14:textId="77777777" w:rsidR="001D5351" w:rsidRDefault="00000000">
            <w:r>
              <w:t>臺灣關係法</w:t>
            </w:r>
          </w:p>
        </w:tc>
        <w:tc>
          <w:tcPr>
            <w:tcW w:w="6600" w:type="dxa"/>
          </w:tcPr>
          <w:p w14:paraId="3F9A6286" w14:textId="77777777" w:rsidR="001D5351" w:rsidRDefault="00000000">
            <w:r>
              <w:t>美國在</w:t>
            </w:r>
            <w:r>
              <w:t xml:space="preserve"> 1979 </w:t>
            </w:r>
            <w:r>
              <w:t>年與我國斷交後制定的國內法，用以維持美國與臺灣人民間的商務、文化及安全承諾。</w:t>
            </w:r>
          </w:p>
        </w:tc>
      </w:tr>
      <w:tr w:rsidR="001D5351" w14:paraId="13DA03B2" w14:textId="77777777">
        <w:tblPrEx>
          <w:tblCellMar>
            <w:top w:w="0" w:type="dxa"/>
            <w:bottom w:w="0" w:type="dxa"/>
          </w:tblCellMar>
        </w:tblPrEx>
        <w:tc>
          <w:tcPr>
            <w:tcW w:w="2800" w:type="dxa"/>
          </w:tcPr>
          <w:p w14:paraId="632CDA47" w14:textId="77777777" w:rsidR="001D5351" w:rsidRDefault="00000000">
            <w:r>
              <w:t>美國在臺協會（</w:t>
            </w:r>
            <w:r>
              <w:t>AIT</w:t>
            </w:r>
            <w:r>
              <w:t>）</w:t>
            </w:r>
          </w:p>
        </w:tc>
        <w:tc>
          <w:tcPr>
            <w:tcW w:w="6600" w:type="dxa"/>
          </w:tcPr>
          <w:p w14:paraId="4ABEC6B6" w14:textId="77777777" w:rsidR="001D5351" w:rsidRDefault="00000000">
            <w:r>
              <w:t>依臺灣關係法設立的機構，負責維持美國與臺灣之間的非官方實質關係。</w:t>
            </w:r>
          </w:p>
        </w:tc>
      </w:tr>
      <w:tr w:rsidR="001D5351" w14:paraId="4D6EFD9B" w14:textId="77777777">
        <w:tblPrEx>
          <w:tblCellMar>
            <w:top w:w="0" w:type="dxa"/>
            <w:bottom w:w="0" w:type="dxa"/>
          </w:tblCellMar>
        </w:tblPrEx>
        <w:tc>
          <w:tcPr>
            <w:tcW w:w="2800" w:type="dxa"/>
          </w:tcPr>
          <w:p w14:paraId="2DCC7365" w14:textId="77777777" w:rsidR="001D5351" w:rsidRDefault="00000000">
            <w:r>
              <w:t>一中原則</w:t>
            </w:r>
          </w:p>
        </w:tc>
        <w:tc>
          <w:tcPr>
            <w:tcW w:w="6600" w:type="dxa"/>
          </w:tcPr>
          <w:p w14:paraId="1773B838" w14:textId="77777777" w:rsidR="001D5351" w:rsidRDefault="00000000">
            <w:r>
              <w:t>中國官方主張世界上只有一個中國，中華人民共和國是唯一合法政府，臺灣是中國的一部分。</w:t>
            </w:r>
          </w:p>
        </w:tc>
      </w:tr>
    </w:tbl>
    <w:p w14:paraId="3604052A" w14:textId="77777777" w:rsidR="001D5351" w:rsidRDefault="001D5351"/>
    <w:p w14:paraId="5346FEA3" w14:textId="77777777" w:rsidR="001D5351" w:rsidRDefault="00000000">
      <w:pPr>
        <w:pStyle w:val="1"/>
      </w:pPr>
      <w:r>
        <w:t>第三課</w:t>
      </w:r>
      <w:r>
        <w:t xml:space="preserve"> </w:t>
      </w:r>
      <w:r>
        <w:t>政府體制與民主治理（</w:t>
      </w:r>
      <w:r>
        <w:t xml:space="preserve">23 </w:t>
      </w:r>
      <w:r>
        <w:t>個）</w:t>
      </w:r>
    </w:p>
    <w:tbl>
      <w:tblPr>
        <w:tblW w:w="0" w:type="auto"/>
        <w:tblInd w:w="10" w:type="dxa"/>
        <w:tblBorders>
          <w:top w:val="single" w:sz="8" w:space="0" w:color="666666"/>
          <w:left w:val="single" w:sz="8" w:space="0" w:color="666666"/>
          <w:bottom w:val="single" w:sz="8" w:space="0" w:color="666666"/>
          <w:right w:val="single" w:sz="8" w:space="0" w:color="666666"/>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800"/>
        <w:gridCol w:w="6600"/>
      </w:tblGrid>
      <w:tr w:rsidR="001D5351" w14:paraId="616A4934" w14:textId="77777777">
        <w:tblPrEx>
          <w:tblCellMar>
            <w:top w:w="0" w:type="dxa"/>
            <w:bottom w:w="0" w:type="dxa"/>
          </w:tblCellMar>
        </w:tblPrEx>
        <w:tc>
          <w:tcPr>
            <w:tcW w:w="2800" w:type="dxa"/>
            <w:shd w:val="clear" w:color="auto" w:fill="D9EAF7"/>
          </w:tcPr>
          <w:p w14:paraId="65A3A002" w14:textId="77777777" w:rsidR="001D5351" w:rsidRDefault="00000000">
            <w:r>
              <w:rPr>
                <w:b/>
              </w:rPr>
              <w:t>專有名詞</w:t>
            </w:r>
          </w:p>
        </w:tc>
        <w:tc>
          <w:tcPr>
            <w:tcW w:w="6600" w:type="dxa"/>
            <w:shd w:val="clear" w:color="auto" w:fill="D9EAF7"/>
          </w:tcPr>
          <w:p w14:paraId="513E630A" w14:textId="77777777" w:rsidR="001D5351" w:rsidRDefault="00000000">
            <w:r>
              <w:rPr>
                <w:b/>
              </w:rPr>
              <w:t>定義</w:t>
            </w:r>
          </w:p>
        </w:tc>
      </w:tr>
      <w:tr w:rsidR="001D5351" w14:paraId="16DDCEF9" w14:textId="77777777">
        <w:tblPrEx>
          <w:tblCellMar>
            <w:top w:w="0" w:type="dxa"/>
            <w:bottom w:w="0" w:type="dxa"/>
          </w:tblCellMar>
        </w:tblPrEx>
        <w:tc>
          <w:tcPr>
            <w:tcW w:w="2800" w:type="dxa"/>
          </w:tcPr>
          <w:p w14:paraId="0F2F15C5" w14:textId="77777777" w:rsidR="001D5351" w:rsidRDefault="00000000">
            <w:r>
              <w:t>內閣制</w:t>
            </w:r>
          </w:p>
        </w:tc>
        <w:tc>
          <w:tcPr>
            <w:tcW w:w="6600" w:type="dxa"/>
          </w:tcPr>
          <w:p w14:paraId="1C62D6F9" w14:textId="77777777" w:rsidR="001D5351" w:rsidRDefault="00000000">
            <w:r>
              <w:t>行政權由國會多數黨組成的內閣掌握，行政首長通常由多數黨領袖出任，內閣須對國會負責。</w:t>
            </w:r>
          </w:p>
        </w:tc>
      </w:tr>
      <w:tr w:rsidR="001D5351" w14:paraId="51E0408C" w14:textId="77777777">
        <w:tblPrEx>
          <w:tblCellMar>
            <w:top w:w="0" w:type="dxa"/>
            <w:bottom w:w="0" w:type="dxa"/>
          </w:tblCellMar>
        </w:tblPrEx>
        <w:tc>
          <w:tcPr>
            <w:tcW w:w="2800" w:type="dxa"/>
          </w:tcPr>
          <w:p w14:paraId="5659E8FE" w14:textId="77777777" w:rsidR="001D5351" w:rsidRDefault="00000000">
            <w:r>
              <w:t>總統制</w:t>
            </w:r>
          </w:p>
        </w:tc>
        <w:tc>
          <w:tcPr>
            <w:tcW w:w="6600" w:type="dxa"/>
          </w:tcPr>
          <w:p w14:paraId="524C3D80" w14:textId="77777777" w:rsidR="001D5351" w:rsidRDefault="00000000">
            <w:r>
              <w:t>總統由人民選出，同時具有國家元首與行政首長地位，行政權與立法權分立並相互制衡。</w:t>
            </w:r>
          </w:p>
        </w:tc>
      </w:tr>
      <w:tr w:rsidR="001D5351" w14:paraId="7252C375" w14:textId="77777777">
        <w:tblPrEx>
          <w:tblCellMar>
            <w:top w:w="0" w:type="dxa"/>
            <w:bottom w:w="0" w:type="dxa"/>
          </w:tblCellMar>
        </w:tblPrEx>
        <w:tc>
          <w:tcPr>
            <w:tcW w:w="2800" w:type="dxa"/>
          </w:tcPr>
          <w:p w14:paraId="23192E07" w14:textId="77777777" w:rsidR="001D5351" w:rsidRDefault="00000000">
            <w:r>
              <w:t>雙首長制</w:t>
            </w:r>
          </w:p>
        </w:tc>
        <w:tc>
          <w:tcPr>
            <w:tcW w:w="6600" w:type="dxa"/>
          </w:tcPr>
          <w:p w14:paraId="18077CFD" w14:textId="77777777" w:rsidR="001D5351" w:rsidRDefault="00000000">
            <w:r>
              <w:t>兼具內閣制與總統制特色，由總統與行政首長共同分享行政權，行政部門也須面對國會監督。</w:t>
            </w:r>
          </w:p>
        </w:tc>
      </w:tr>
      <w:tr w:rsidR="001D5351" w14:paraId="2B6D879D" w14:textId="77777777">
        <w:tblPrEx>
          <w:tblCellMar>
            <w:top w:w="0" w:type="dxa"/>
            <w:bottom w:w="0" w:type="dxa"/>
          </w:tblCellMar>
        </w:tblPrEx>
        <w:tc>
          <w:tcPr>
            <w:tcW w:w="2800" w:type="dxa"/>
          </w:tcPr>
          <w:p w14:paraId="596D8822" w14:textId="77777777" w:rsidR="001D5351" w:rsidRDefault="00000000">
            <w:r>
              <w:t>副署制度</w:t>
            </w:r>
          </w:p>
        </w:tc>
        <w:tc>
          <w:tcPr>
            <w:tcW w:w="6600" w:type="dxa"/>
          </w:tcPr>
          <w:p w14:paraId="5A0C783C" w14:textId="06A5B147" w:rsidR="001D5351" w:rsidRDefault="00000000">
            <w:r>
              <w:t>國家元首公布法令前須由行政首長或相關閣員簽名，使政治責任由具有實權的內閣承擔，落實權責相符。</w:t>
            </w:r>
            <w:r w:rsidR="005D38BA">
              <w:rPr>
                <w:rFonts w:hint="eastAsia"/>
              </w:rPr>
              <w:t>【內閣制、雙首長制特色】</w:t>
            </w:r>
          </w:p>
        </w:tc>
      </w:tr>
      <w:tr w:rsidR="001D5351" w14:paraId="754502AB" w14:textId="77777777">
        <w:tblPrEx>
          <w:tblCellMar>
            <w:top w:w="0" w:type="dxa"/>
            <w:bottom w:w="0" w:type="dxa"/>
          </w:tblCellMar>
        </w:tblPrEx>
        <w:tc>
          <w:tcPr>
            <w:tcW w:w="2800" w:type="dxa"/>
          </w:tcPr>
          <w:p w14:paraId="23F86881" w14:textId="77777777" w:rsidR="001D5351" w:rsidRDefault="00000000">
            <w:r>
              <w:t>不信任案</w:t>
            </w:r>
          </w:p>
        </w:tc>
        <w:tc>
          <w:tcPr>
            <w:tcW w:w="6600" w:type="dxa"/>
          </w:tcPr>
          <w:p w14:paraId="0BCDE7DF" w14:textId="021315D5" w:rsidR="001D5351" w:rsidRDefault="00000000">
            <w:r>
              <w:t>國會對行政首長或內閣表達不信任的正式程序，通過後可能造成內閣總辭或行政首長下臺。</w:t>
            </w:r>
            <w:r w:rsidR="005D38BA">
              <w:rPr>
                <w:rFonts w:hint="eastAsia"/>
              </w:rPr>
              <w:t>【內閣制、雙首長制特色】</w:t>
            </w:r>
          </w:p>
        </w:tc>
      </w:tr>
      <w:tr w:rsidR="001D5351" w14:paraId="11D9708A" w14:textId="77777777">
        <w:tblPrEx>
          <w:tblCellMar>
            <w:top w:w="0" w:type="dxa"/>
            <w:bottom w:w="0" w:type="dxa"/>
          </w:tblCellMar>
        </w:tblPrEx>
        <w:tc>
          <w:tcPr>
            <w:tcW w:w="2800" w:type="dxa"/>
          </w:tcPr>
          <w:p w14:paraId="73843DD9" w14:textId="77777777" w:rsidR="001D5351" w:rsidRDefault="00000000">
            <w:r>
              <w:lastRenderedPageBreak/>
              <w:t>倒閣權</w:t>
            </w:r>
          </w:p>
        </w:tc>
        <w:tc>
          <w:tcPr>
            <w:tcW w:w="6600" w:type="dxa"/>
          </w:tcPr>
          <w:p w14:paraId="3345A50B" w14:textId="31393943" w:rsidR="001D5351" w:rsidRDefault="00000000">
            <w:r>
              <w:t>國會透過不信任案迫使內閣或行政首長辭職的權力，是國會制衡行政權的重要機制。</w:t>
            </w:r>
            <w:r w:rsidR="005D38BA">
              <w:rPr>
                <w:rFonts w:hint="eastAsia"/>
              </w:rPr>
              <w:t>【內閣制、雙首長制特色】</w:t>
            </w:r>
          </w:p>
        </w:tc>
      </w:tr>
      <w:tr w:rsidR="001D5351" w14:paraId="0AC45EF9" w14:textId="77777777">
        <w:tblPrEx>
          <w:tblCellMar>
            <w:top w:w="0" w:type="dxa"/>
            <w:bottom w:w="0" w:type="dxa"/>
          </w:tblCellMar>
        </w:tblPrEx>
        <w:tc>
          <w:tcPr>
            <w:tcW w:w="2800" w:type="dxa"/>
          </w:tcPr>
          <w:p w14:paraId="5DBF13EE" w14:textId="77777777" w:rsidR="001D5351" w:rsidRDefault="00000000">
            <w:r>
              <w:t>解散國會權</w:t>
            </w:r>
          </w:p>
        </w:tc>
        <w:tc>
          <w:tcPr>
            <w:tcW w:w="6600" w:type="dxa"/>
          </w:tcPr>
          <w:p w14:paraId="066C7B57" w14:textId="7B56919C" w:rsidR="001D5351" w:rsidRDefault="00000000">
            <w:r>
              <w:t>行政首長或國家元首在特定條件下解散國會、重新選舉的權力，用以重新確認民意。</w:t>
            </w:r>
            <w:r w:rsidR="005D38BA">
              <w:rPr>
                <w:rFonts w:hint="eastAsia"/>
              </w:rPr>
              <w:t>【內閣制、雙首長制特色】</w:t>
            </w:r>
          </w:p>
        </w:tc>
      </w:tr>
      <w:tr w:rsidR="001D5351" w14:paraId="5097EC87" w14:textId="77777777">
        <w:tblPrEx>
          <w:tblCellMar>
            <w:top w:w="0" w:type="dxa"/>
            <w:bottom w:w="0" w:type="dxa"/>
          </w:tblCellMar>
        </w:tblPrEx>
        <w:tc>
          <w:tcPr>
            <w:tcW w:w="2800" w:type="dxa"/>
          </w:tcPr>
          <w:p w14:paraId="2A7C29EF" w14:textId="77777777" w:rsidR="001D5351" w:rsidRDefault="00000000">
            <w:r>
              <w:t>立法否決權（覆議權）</w:t>
            </w:r>
          </w:p>
        </w:tc>
        <w:tc>
          <w:tcPr>
            <w:tcW w:w="6600" w:type="dxa"/>
          </w:tcPr>
          <w:p w14:paraId="7861877E" w14:textId="6BC32078" w:rsidR="001D5351" w:rsidRDefault="00000000">
            <w:r>
              <w:t>行政權對國會法案的制衡方式；當法案有窒礙難行之處，可退回國會要求重新審議。</w:t>
            </w:r>
            <w:r w:rsidR="005D38BA">
              <w:rPr>
                <w:rFonts w:hint="eastAsia"/>
              </w:rPr>
              <w:t>【</w:t>
            </w:r>
            <w:r w:rsidR="005D38BA">
              <w:rPr>
                <w:rFonts w:hint="eastAsia"/>
              </w:rPr>
              <w:t>總統</w:t>
            </w:r>
            <w:r w:rsidR="005D38BA">
              <w:rPr>
                <w:rFonts w:hint="eastAsia"/>
              </w:rPr>
              <w:t>制、雙首長制特色】</w:t>
            </w:r>
          </w:p>
        </w:tc>
      </w:tr>
      <w:tr w:rsidR="001D5351" w14:paraId="7ED2B527" w14:textId="77777777">
        <w:tblPrEx>
          <w:tblCellMar>
            <w:top w:w="0" w:type="dxa"/>
            <w:bottom w:w="0" w:type="dxa"/>
          </w:tblCellMar>
        </w:tblPrEx>
        <w:tc>
          <w:tcPr>
            <w:tcW w:w="2800" w:type="dxa"/>
          </w:tcPr>
          <w:p w14:paraId="6F59C557" w14:textId="77777777" w:rsidR="001D5351" w:rsidRDefault="00000000">
            <w:r>
              <w:t>一致政府</w:t>
            </w:r>
          </w:p>
        </w:tc>
        <w:tc>
          <w:tcPr>
            <w:tcW w:w="6600" w:type="dxa"/>
          </w:tcPr>
          <w:p w14:paraId="61F493B0" w14:textId="77777777" w:rsidR="001D5351" w:rsidRDefault="00000000">
            <w:r>
              <w:t>總統制下，總統所屬政黨與國會多數黨相同，通常有助於政策推動，但也可能降低制衡。</w:t>
            </w:r>
          </w:p>
        </w:tc>
      </w:tr>
      <w:tr w:rsidR="001D5351" w14:paraId="37000EB7" w14:textId="77777777">
        <w:tblPrEx>
          <w:tblCellMar>
            <w:top w:w="0" w:type="dxa"/>
            <w:bottom w:w="0" w:type="dxa"/>
          </w:tblCellMar>
        </w:tblPrEx>
        <w:tc>
          <w:tcPr>
            <w:tcW w:w="2800" w:type="dxa"/>
          </w:tcPr>
          <w:p w14:paraId="747CA0C9" w14:textId="77777777" w:rsidR="001D5351" w:rsidRDefault="00000000">
            <w:r>
              <w:t>分立政府</w:t>
            </w:r>
          </w:p>
        </w:tc>
        <w:tc>
          <w:tcPr>
            <w:tcW w:w="6600" w:type="dxa"/>
          </w:tcPr>
          <w:p w14:paraId="6C313661" w14:textId="77777777" w:rsidR="001D5351" w:rsidRDefault="00000000">
            <w:r>
              <w:t>總統制下，總統所屬政黨與國會多數黨不同，可能強化制衡，也可能造成政策僵局。</w:t>
            </w:r>
          </w:p>
        </w:tc>
      </w:tr>
      <w:tr w:rsidR="001D5351" w14:paraId="04084FCA" w14:textId="77777777">
        <w:tblPrEx>
          <w:tblCellMar>
            <w:top w:w="0" w:type="dxa"/>
            <w:bottom w:w="0" w:type="dxa"/>
          </w:tblCellMar>
        </w:tblPrEx>
        <w:tc>
          <w:tcPr>
            <w:tcW w:w="2800" w:type="dxa"/>
          </w:tcPr>
          <w:p w14:paraId="1841567A" w14:textId="77777777" w:rsidR="001D5351" w:rsidRDefault="00000000">
            <w:r>
              <w:t>單一制</w:t>
            </w:r>
          </w:p>
        </w:tc>
        <w:tc>
          <w:tcPr>
            <w:tcW w:w="6600" w:type="dxa"/>
          </w:tcPr>
          <w:p w14:paraId="1D9F518D" w14:textId="77777777" w:rsidR="001D5351" w:rsidRDefault="00000000">
            <w:r>
              <w:t>地方政府權力主要來自中央授權，中央政府在國家治理中具有較高統一性與集中性。</w:t>
            </w:r>
          </w:p>
        </w:tc>
      </w:tr>
      <w:tr w:rsidR="001D5351" w14:paraId="543E4237" w14:textId="77777777">
        <w:tblPrEx>
          <w:tblCellMar>
            <w:top w:w="0" w:type="dxa"/>
            <w:bottom w:w="0" w:type="dxa"/>
          </w:tblCellMar>
        </w:tblPrEx>
        <w:tc>
          <w:tcPr>
            <w:tcW w:w="2800" w:type="dxa"/>
          </w:tcPr>
          <w:p w14:paraId="4DE9A963" w14:textId="77777777" w:rsidR="001D5351" w:rsidRDefault="00000000">
            <w:r>
              <w:t>聯邦制</w:t>
            </w:r>
          </w:p>
        </w:tc>
        <w:tc>
          <w:tcPr>
            <w:tcW w:w="6600" w:type="dxa"/>
          </w:tcPr>
          <w:p w14:paraId="18140CDD" w14:textId="77777777" w:rsidR="001D5351" w:rsidRDefault="00000000">
            <w:r>
              <w:t>中央與地方政府依憲法分享權力，地方政府通常具有較高自治地位與憲法保障。</w:t>
            </w:r>
          </w:p>
        </w:tc>
      </w:tr>
      <w:tr w:rsidR="001D5351" w14:paraId="6F3EFFC3" w14:textId="77777777">
        <w:tblPrEx>
          <w:tblCellMar>
            <w:top w:w="0" w:type="dxa"/>
            <w:bottom w:w="0" w:type="dxa"/>
          </w:tblCellMar>
        </w:tblPrEx>
        <w:tc>
          <w:tcPr>
            <w:tcW w:w="2800" w:type="dxa"/>
          </w:tcPr>
          <w:p w14:paraId="737F2034" w14:textId="77777777" w:rsidR="001D5351" w:rsidRDefault="00000000">
            <w:r>
              <w:t>均權制度</w:t>
            </w:r>
          </w:p>
        </w:tc>
        <w:tc>
          <w:tcPr>
            <w:tcW w:w="6600" w:type="dxa"/>
          </w:tcPr>
          <w:p w14:paraId="6F035E21" w14:textId="77777777" w:rsidR="001D5351" w:rsidRDefault="00000000">
            <w:r>
              <w:t>我國中央與地方權限劃分原則：全國一致性質歸中央，因地制宜性質歸地方；爭議由立法院協調。</w:t>
            </w:r>
          </w:p>
        </w:tc>
      </w:tr>
      <w:tr w:rsidR="001D5351" w14:paraId="44CD2437" w14:textId="77777777">
        <w:tblPrEx>
          <w:tblCellMar>
            <w:top w:w="0" w:type="dxa"/>
            <w:bottom w:w="0" w:type="dxa"/>
          </w:tblCellMar>
        </w:tblPrEx>
        <w:tc>
          <w:tcPr>
            <w:tcW w:w="2800" w:type="dxa"/>
          </w:tcPr>
          <w:p w14:paraId="5EE6CBB5" w14:textId="77777777" w:rsidR="001D5351" w:rsidRDefault="00000000">
            <w:r>
              <w:t>地方自治</w:t>
            </w:r>
          </w:p>
        </w:tc>
        <w:tc>
          <w:tcPr>
            <w:tcW w:w="6600" w:type="dxa"/>
          </w:tcPr>
          <w:p w14:paraId="5721BFEF" w14:textId="77777777" w:rsidR="001D5351" w:rsidRDefault="00000000">
            <w:r>
              <w:t>地方居民透過地方政府處理地方公共事務，使政策能因應地方需求並落實民主參與。</w:t>
            </w:r>
          </w:p>
        </w:tc>
      </w:tr>
      <w:tr w:rsidR="001D5351" w14:paraId="7CB39CF3" w14:textId="77777777">
        <w:tblPrEx>
          <w:tblCellMar>
            <w:top w:w="0" w:type="dxa"/>
            <w:bottom w:w="0" w:type="dxa"/>
          </w:tblCellMar>
        </w:tblPrEx>
        <w:tc>
          <w:tcPr>
            <w:tcW w:w="2800" w:type="dxa"/>
          </w:tcPr>
          <w:p w14:paraId="0CF33D82" w14:textId="77777777" w:rsidR="001D5351" w:rsidRDefault="00000000">
            <w:r>
              <w:t>民主治理</w:t>
            </w:r>
          </w:p>
        </w:tc>
        <w:tc>
          <w:tcPr>
            <w:tcW w:w="6600" w:type="dxa"/>
          </w:tcPr>
          <w:p w14:paraId="6A8B4A70" w14:textId="77777777" w:rsidR="001D5351" w:rsidRDefault="00000000">
            <w:r>
              <w:t>政府在治理過程中納入課責、透明、回應與參與等民主原則，並與人民及民間組織形成合作關係。</w:t>
            </w:r>
          </w:p>
        </w:tc>
      </w:tr>
      <w:tr w:rsidR="001D5351" w14:paraId="5F985BC8" w14:textId="77777777">
        <w:tblPrEx>
          <w:tblCellMar>
            <w:top w:w="0" w:type="dxa"/>
            <w:bottom w:w="0" w:type="dxa"/>
          </w:tblCellMar>
        </w:tblPrEx>
        <w:tc>
          <w:tcPr>
            <w:tcW w:w="2800" w:type="dxa"/>
          </w:tcPr>
          <w:p w14:paraId="16681435" w14:textId="77777777" w:rsidR="001D5351" w:rsidRDefault="00000000">
            <w:r>
              <w:t>參與式預算</w:t>
            </w:r>
          </w:p>
        </w:tc>
        <w:tc>
          <w:tcPr>
            <w:tcW w:w="6600" w:type="dxa"/>
          </w:tcPr>
          <w:p w14:paraId="31DBFD7C" w14:textId="77777777" w:rsidR="001D5351" w:rsidRDefault="00000000">
            <w:r>
              <w:t>讓人民直接參與行政權與公共資源分配的民主治理模式，由人民決定一部分公共支出。</w:t>
            </w:r>
          </w:p>
        </w:tc>
      </w:tr>
      <w:tr w:rsidR="001D5351" w14:paraId="786995A6" w14:textId="77777777">
        <w:tblPrEx>
          <w:tblCellMar>
            <w:top w:w="0" w:type="dxa"/>
            <w:bottom w:w="0" w:type="dxa"/>
          </w:tblCellMar>
        </w:tblPrEx>
        <w:tc>
          <w:tcPr>
            <w:tcW w:w="2800" w:type="dxa"/>
          </w:tcPr>
          <w:p w14:paraId="7305EA69" w14:textId="77777777" w:rsidR="001D5351" w:rsidRDefault="00000000">
            <w:r>
              <w:t>課責</w:t>
            </w:r>
          </w:p>
        </w:tc>
        <w:tc>
          <w:tcPr>
            <w:tcW w:w="6600" w:type="dxa"/>
          </w:tcPr>
          <w:p w14:paraId="44FEA76B" w14:textId="77777777" w:rsidR="001D5351" w:rsidRDefault="00000000">
            <w:r>
              <w:t>政府或公務員必須就政策成敗負責、接受監督並回應民意，是民主治理的重要原則。</w:t>
            </w:r>
          </w:p>
        </w:tc>
      </w:tr>
    </w:tbl>
    <w:p w14:paraId="62D1912F" w14:textId="77777777" w:rsidR="001D5351" w:rsidRDefault="001D5351"/>
    <w:p w14:paraId="1CBB9A75" w14:textId="77777777" w:rsidR="001D5351" w:rsidRDefault="00000000">
      <w:pPr>
        <w:pStyle w:val="1"/>
      </w:pPr>
      <w:r>
        <w:t>第四課</w:t>
      </w:r>
      <w:r>
        <w:t xml:space="preserve"> </w:t>
      </w:r>
      <w:r>
        <w:t>人民參政與政治參與（</w:t>
      </w:r>
      <w:r>
        <w:t xml:space="preserve">22 </w:t>
      </w:r>
      <w:r>
        <w:t>個）</w:t>
      </w:r>
    </w:p>
    <w:tbl>
      <w:tblPr>
        <w:tblW w:w="0" w:type="auto"/>
        <w:tblInd w:w="10" w:type="dxa"/>
        <w:tblBorders>
          <w:top w:val="single" w:sz="8" w:space="0" w:color="666666"/>
          <w:left w:val="single" w:sz="8" w:space="0" w:color="666666"/>
          <w:bottom w:val="single" w:sz="8" w:space="0" w:color="666666"/>
          <w:right w:val="single" w:sz="8" w:space="0" w:color="666666"/>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800"/>
        <w:gridCol w:w="6600"/>
      </w:tblGrid>
      <w:tr w:rsidR="001D5351" w14:paraId="23AF9C4A" w14:textId="77777777">
        <w:tblPrEx>
          <w:tblCellMar>
            <w:top w:w="0" w:type="dxa"/>
            <w:bottom w:w="0" w:type="dxa"/>
          </w:tblCellMar>
        </w:tblPrEx>
        <w:tc>
          <w:tcPr>
            <w:tcW w:w="2800" w:type="dxa"/>
            <w:shd w:val="clear" w:color="auto" w:fill="D9EAF7"/>
          </w:tcPr>
          <w:p w14:paraId="642140EF" w14:textId="77777777" w:rsidR="001D5351" w:rsidRDefault="00000000">
            <w:r>
              <w:rPr>
                <w:b/>
              </w:rPr>
              <w:t>專有名詞</w:t>
            </w:r>
          </w:p>
        </w:tc>
        <w:tc>
          <w:tcPr>
            <w:tcW w:w="6600" w:type="dxa"/>
            <w:shd w:val="clear" w:color="auto" w:fill="D9EAF7"/>
          </w:tcPr>
          <w:p w14:paraId="6AC50722" w14:textId="77777777" w:rsidR="001D5351" w:rsidRDefault="00000000">
            <w:r>
              <w:rPr>
                <w:b/>
              </w:rPr>
              <w:t>定義</w:t>
            </w:r>
          </w:p>
        </w:tc>
      </w:tr>
      <w:tr w:rsidR="001D5351" w14:paraId="7A388E58" w14:textId="77777777">
        <w:tblPrEx>
          <w:tblCellMar>
            <w:top w:w="0" w:type="dxa"/>
            <w:bottom w:w="0" w:type="dxa"/>
          </w:tblCellMar>
        </w:tblPrEx>
        <w:tc>
          <w:tcPr>
            <w:tcW w:w="2800" w:type="dxa"/>
          </w:tcPr>
          <w:p w14:paraId="43F8B1A1" w14:textId="77777777" w:rsidR="001D5351" w:rsidRDefault="00000000">
            <w:r>
              <w:lastRenderedPageBreak/>
              <w:t>單一選區相對多數決制</w:t>
            </w:r>
          </w:p>
        </w:tc>
        <w:tc>
          <w:tcPr>
            <w:tcW w:w="6600" w:type="dxa"/>
          </w:tcPr>
          <w:p w14:paraId="36C33798" w14:textId="77777777" w:rsidR="001D5351" w:rsidRDefault="00000000">
            <w:r>
              <w:t>每一選區只選出一名當選人，由得票最多者當選，不必取得過半票數，常見於區域立委或行政首長選舉。</w:t>
            </w:r>
          </w:p>
        </w:tc>
      </w:tr>
      <w:tr w:rsidR="001D5351" w14:paraId="6C068AA8" w14:textId="77777777">
        <w:tblPrEx>
          <w:tblCellMar>
            <w:top w:w="0" w:type="dxa"/>
            <w:bottom w:w="0" w:type="dxa"/>
          </w:tblCellMar>
        </w:tblPrEx>
        <w:tc>
          <w:tcPr>
            <w:tcW w:w="2800" w:type="dxa"/>
          </w:tcPr>
          <w:p w14:paraId="66B9B4C9" w14:textId="77777777" w:rsidR="001D5351" w:rsidRDefault="00000000">
            <w:r>
              <w:t>複數選區相對多數決制</w:t>
            </w:r>
          </w:p>
        </w:tc>
        <w:tc>
          <w:tcPr>
            <w:tcW w:w="6600" w:type="dxa"/>
          </w:tcPr>
          <w:p w14:paraId="7D5975BB" w14:textId="77777777" w:rsidR="001D5351" w:rsidRDefault="00000000">
            <w:r>
              <w:t>每一選區可選出多名當選人，由得票較高的若干候選人依席次當選。</w:t>
            </w:r>
          </w:p>
        </w:tc>
      </w:tr>
      <w:tr w:rsidR="001D5351" w14:paraId="2CBFD0B0" w14:textId="77777777">
        <w:tblPrEx>
          <w:tblCellMar>
            <w:top w:w="0" w:type="dxa"/>
            <w:bottom w:w="0" w:type="dxa"/>
          </w:tblCellMar>
        </w:tblPrEx>
        <w:tc>
          <w:tcPr>
            <w:tcW w:w="2800" w:type="dxa"/>
          </w:tcPr>
          <w:p w14:paraId="5202354F" w14:textId="77777777" w:rsidR="001D5351" w:rsidRDefault="00000000">
            <w:r>
              <w:t>絕對多數決制</w:t>
            </w:r>
          </w:p>
        </w:tc>
        <w:tc>
          <w:tcPr>
            <w:tcW w:w="6600" w:type="dxa"/>
          </w:tcPr>
          <w:p w14:paraId="39C3EF4B" w14:textId="77777777" w:rsidR="001D5351" w:rsidRDefault="00000000">
            <w:r>
              <w:t>候選人須取得過半數選票才可當選，若無人過半，通常需透過第二輪或其他方式決定結果。</w:t>
            </w:r>
          </w:p>
        </w:tc>
      </w:tr>
      <w:tr w:rsidR="001D5351" w14:paraId="3EE1C94B" w14:textId="77777777">
        <w:tblPrEx>
          <w:tblCellMar>
            <w:top w:w="0" w:type="dxa"/>
            <w:bottom w:w="0" w:type="dxa"/>
          </w:tblCellMar>
        </w:tblPrEx>
        <w:tc>
          <w:tcPr>
            <w:tcW w:w="2800" w:type="dxa"/>
          </w:tcPr>
          <w:p w14:paraId="55B5AB81" w14:textId="77777777" w:rsidR="001D5351" w:rsidRDefault="00000000">
            <w:r>
              <w:t>比例代表制</w:t>
            </w:r>
          </w:p>
        </w:tc>
        <w:tc>
          <w:tcPr>
            <w:tcW w:w="6600" w:type="dxa"/>
          </w:tcPr>
          <w:p w14:paraId="35815D37" w14:textId="77777777" w:rsidR="001D5351" w:rsidRDefault="00000000">
            <w:r>
              <w:t>依政黨所得選票比例分配議會席次的選舉制度；我國不分區及僑居國外國民立委即採政黨票比例分配。</w:t>
            </w:r>
          </w:p>
        </w:tc>
      </w:tr>
      <w:tr w:rsidR="001D5351" w14:paraId="077F3C76" w14:textId="77777777">
        <w:tblPrEx>
          <w:tblCellMar>
            <w:top w:w="0" w:type="dxa"/>
            <w:bottom w:w="0" w:type="dxa"/>
          </w:tblCellMar>
        </w:tblPrEx>
        <w:tc>
          <w:tcPr>
            <w:tcW w:w="2800" w:type="dxa"/>
          </w:tcPr>
          <w:p w14:paraId="6A2C0E26" w14:textId="77777777" w:rsidR="001D5351" w:rsidRDefault="00000000">
            <w:r>
              <w:t>政黨門檻</w:t>
            </w:r>
          </w:p>
        </w:tc>
        <w:tc>
          <w:tcPr>
            <w:tcW w:w="6600" w:type="dxa"/>
          </w:tcPr>
          <w:p w14:paraId="3727A8B0" w14:textId="77777777" w:rsidR="001D5351" w:rsidRDefault="00000000">
            <w:r>
              <w:t>政黨須達到一定得票比例才能分配席次的制度設計，我國不分區立委分配設有</w:t>
            </w:r>
            <w:r>
              <w:t xml:space="preserve"> 5% </w:t>
            </w:r>
            <w:r>
              <w:t>門檻。</w:t>
            </w:r>
          </w:p>
        </w:tc>
      </w:tr>
      <w:tr w:rsidR="001D5351" w14:paraId="6A53D9B6" w14:textId="77777777">
        <w:tblPrEx>
          <w:tblCellMar>
            <w:top w:w="0" w:type="dxa"/>
            <w:bottom w:w="0" w:type="dxa"/>
          </w:tblCellMar>
        </w:tblPrEx>
        <w:tc>
          <w:tcPr>
            <w:tcW w:w="2800" w:type="dxa"/>
          </w:tcPr>
          <w:p w14:paraId="607457F6" w14:textId="77777777" w:rsidR="001D5351" w:rsidRDefault="00000000">
            <w:r>
              <w:t>傑利蠑螈</w:t>
            </w:r>
          </w:p>
        </w:tc>
        <w:tc>
          <w:tcPr>
            <w:tcW w:w="6600" w:type="dxa"/>
          </w:tcPr>
          <w:p w14:paraId="6A5F6FE0" w14:textId="77777777" w:rsidR="001D5351" w:rsidRDefault="00000000">
            <w:r>
              <w:t>掌握選區劃分權者刻意操作選區形狀或範圍，以分散對手票源或集中己方票源，藉此取得選舉優勢。</w:t>
            </w:r>
          </w:p>
        </w:tc>
      </w:tr>
      <w:tr w:rsidR="001D5351" w14:paraId="7A66A8CE" w14:textId="77777777">
        <w:tblPrEx>
          <w:tblCellMar>
            <w:top w:w="0" w:type="dxa"/>
            <w:bottom w:w="0" w:type="dxa"/>
          </w:tblCellMar>
        </w:tblPrEx>
        <w:tc>
          <w:tcPr>
            <w:tcW w:w="2800" w:type="dxa"/>
          </w:tcPr>
          <w:p w14:paraId="6ACF1DA6" w14:textId="77777777" w:rsidR="001D5351" w:rsidRDefault="00000000">
            <w:r>
              <w:t>公民投票</w:t>
            </w:r>
          </w:p>
        </w:tc>
        <w:tc>
          <w:tcPr>
            <w:tcW w:w="6600" w:type="dxa"/>
          </w:tcPr>
          <w:p w14:paraId="26B149BD" w14:textId="77777777" w:rsidR="001D5351" w:rsidRDefault="00000000">
            <w:r>
              <w:t>人民針對重大法律原則或政策進行投票的直接民主制度，用以彌補代議政治不足。</w:t>
            </w:r>
          </w:p>
        </w:tc>
      </w:tr>
      <w:tr w:rsidR="001D5351" w14:paraId="5AD4D9EC" w14:textId="77777777">
        <w:tblPrEx>
          <w:tblCellMar>
            <w:top w:w="0" w:type="dxa"/>
            <w:bottom w:w="0" w:type="dxa"/>
          </w:tblCellMar>
        </w:tblPrEx>
        <w:tc>
          <w:tcPr>
            <w:tcW w:w="2800" w:type="dxa"/>
          </w:tcPr>
          <w:p w14:paraId="5208E1E6" w14:textId="77777777" w:rsidR="001D5351" w:rsidRDefault="00000000">
            <w:r>
              <w:t>利益團體（壓力團體）</w:t>
            </w:r>
          </w:p>
        </w:tc>
        <w:tc>
          <w:tcPr>
            <w:tcW w:w="6600" w:type="dxa"/>
          </w:tcPr>
          <w:p w14:paraId="39CF2540" w14:textId="77777777" w:rsidR="001D5351" w:rsidRDefault="00000000">
            <w:r>
              <w:t>由具有共同利益的人組成的民間團體，透過遊說、倡議或施壓影響政府決策，但通常不提名候選人。</w:t>
            </w:r>
          </w:p>
        </w:tc>
      </w:tr>
      <w:tr w:rsidR="001D5351" w14:paraId="726E77F2" w14:textId="77777777">
        <w:tblPrEx>
          <w:tblCellMar>
            <w:top w:w="0" w:type="dxa"/>
            <w:bottom w:w="0" w:type="dxa"/>
          </w:tblCellMar>
        </w:tblPrEx>
        <w:tc>
          <w:tcPr>
            <w:tcW w:w="2800" w:type="dxa"/>
          </w:tcPr>
          <w:p w14:paraId="32B90C20" w14:textId="77777777" w:rsidR="001D5351" w:rsidRDefault="00000000">
            <w:r>
              <w:t>政黨</w:t>
            </w:r>
          </w:p>
        </w:tc>
        <w:tc>
          <w:tcPr>
            <w:tcW w:w="6600" w:type="dxa"/>
          </w:tcPr>
          <w:p w14:paraId="0012F5DB" w14:textId="77777777" w:rsidR="001D5351" w:rsidRDefault="00000000">
            <w:r>
              <w:t>以取得或影響政治權力為目標的組織，會提出政策理念並推派候選人參與選舉。</w:t>
            </w:r>
          </w:p>
        </w:tc>
      </w:tr>
      <w:tr w:rsidR="001D5351" w14:paraId="6678241E" w14:textId="77777777">
        <w:tblPrEx>
          <w:tblCellMar>
            <w:top w:w="0" w:type="dxa"/>
            <w:bottom w:w="0" w:type="dxa"/>
          </w:tblCellMar>
        </w:tblPrEx>
        <w:tc>
          <w:tcPr>
            <w:tcW w:w="2800" w:type="dxa"/>
          </w:tcPr>
          <w:p w14:paraId="12FC7142" w14:textId="77777777" w:rsidR="001D5351" w:rsidRDefault="00000000">
            <w:r>
              <w:t>社會運動</w:t>
            </w:r>
          </w:p>
        </w:tc>
        <w:tc>
          <w:tcPr>
            <w:tcW w:w="6600" w:type="dxa"/>
          </w:tcPr>
          <w:p w14:paraId="7991B921" w14:textId="77777777" w:rsidR="001D5351" w:rsidRDefault="00000000">
            <w:r>
              <w:t>公民由下而上發起的集體政治參與，透過示威、遊行、罷工、抵制或倡議推動改革。</w:t>
            </w:r>
          </w:p>
        </w:tc>
      </w:tr>
    </w:tbl>
    <w:p w14:paraId="2A0E79C7" w14:textId="77777777" w:rsidR="001D5351" w:rsidRDefault="001D5351"/>
    <w:p w14:paraId="086289D5" w14:textId="77777777" w:rsidR="001D5351" w:rsidRDefault="00000000">
      <w:pPr>
        <w:pStyle w:val="1"/>
      </w:pPr>
      <w:r>
        <w:t>第五課</w:t>
      </w:r>
      <w:r>
        <w:t xml:space="preserve"> </w:t>
      </w:r>
      <w:r>
        <w:t>媒體與公共意見（</w:t>
      </w:r>
      <w:r>
        <w:t xml:space="preserve">20 </w:t>
      </w:r>
      <w:r>
        <w:t>個）</w:t>
      </w:r>
    </w:p>
    <w:tbl>
      <w:tblPr>
        <w:tblW w:w="0" w:type="auto"/>
        <w:tblInd w:w="10" w:type="dxa"/>
        <w:tblBorders>
          <w:top w:val="single" w:sz="8" w:space="0" w:color="666666"/>
          <w:left w:val="single" w:sz="8" w:space="0" w:color="666666"/>
          <w:bottom w:val="single" w:sz="8" w:space="0" w:color="666666"/>
          <w:right w:val="single" w:sz="8" w:space="0" w:color="666666"/>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800"/>
        <w:gridCol w:w="6600"/>
      </w:tblGrid>
      <w:tr w:rsidR="001D5351" w14:paraId="734D8233" w14:textId="77777777">
        <w:tblPrEx>
          <w:tblCellMar>
            <w:top w:w="0" w:type="dxa"/>
            <w:bottom w:w="0" w:type="dxa"/>
          </w:tblCellMar>
        </w:tblPrEx>
        <w:tc>
          <w:tcPr>
            <w:tcW w:w="2800" w:type="dxa"/>
            <w:shd w:val="clear" w:color="auto" w:fill="D9EAF7"/>
          </w:tcPr>
          <w:p w14:paraId="474E6F3E" w14:textId="77777777" w:rsidR="001D5351" w:rsidRDefault="00000000">
            <w:r>
              <w:rPr>
                <w:b/>
              </w:rPr>
              <w:t>專有名詞</w:t>
            </w:r>
          </w:p>
        </w:tc>
        <w:tc>
          <w:tcPr>
            <w:tcW w:w="6600" w:type="dxa"/>
            <w:shd w:val="clear" w:color="auto" w:fill="D9EAF7"/>
          </w:tcPr>
          <w:p w14:paraId="270E8693" w14:textId="77777777" w:rsidR="001D5351" w:rsidRDefault="00000000">
            <w:r>
              <w:rPr>
                <w:b/>
              </w:rPr>
              <w:t>定義</w:t>
            </w:r>
          </w:p>
        </w:tc>
      </w:tr>
      <w:tr w:rsidR="001D5351" w14:paraId="493ECC5C" w14:textId="77777777">
        <w:tblPrEx>
          <w:tblCellMar>
            <w:top w:w="0" w:type="dxa"/>
            <w:bottom w:w="0" w:type="dxa"/>
          </w:tblCellMar>
        </w:tblPrEx>
        <w:tc>
          <w:tcPr>
            <w:tcW w:w="2800" w:type="dxa"/>
          </w:tcPr>
          <w:p w14:paraId="4B64131F" w14:textId="77777777" w:rsidR="001D5351" w:rsidRDefault="00000000">
            <w:r>
              <w:t>第四權</w:t>
            </w:r>
          </w:p>
        </w:tc>
        <w:tc>
          <w:tcPr>
            <w:tcW w:w="6600" w:type="dxa"/>
          </w:tcPr>
          <w:p w14:paraId="593E61E7" w14:textId="77777777" w:rsidR="001D5351" w:rsidRDefault="00000000">
            <w:r>
              <w:t>媒體在民主社會中監督政府與公共權力、揭露資訊並防止權力濫用的功能，因此被稱為第四權。</w:t>
            </w:r>
          </w:p>
        </w:tc>
      </w:tr>
      <w:tr w:rsidR="001D5351" w14:paraId="646B0342" w14:textId="77777777">
        <w:tblPrEx>
          <w:tblCellMar>
            <w:top w:w="0" w:type="dxa"/>
            <w:bottom w:w="0" w:type="dxa"/>
          </w:tblCellMar>
        </w:tblPrEx>
        <w:tc>
          <w:tcPr>
            <w:tcW w:w="2800" w:type="dxa"/>
          </w:tcPr>
          <w:p w14:paraId="0932BF6A" w14:textId="77777777" w:rsidR="001D5351" w:rsidRDefault="00000000">
            <w:r>
              <w:t>公共媒體</w:t>
            </w:r>
          </w:p>
        </w:tc>
        <w:tc>
          <w:tcPr>
            <w:tcW w:w="6600" w:type="dxa"/>
          </w:tcPr>
          <w:p w14:paraId="7AE5FEC0" w14:textId="77777777" w:rsidR="001D5351" w:rsidRDefault="00000000">
            <w:r>
              <w:t>以公共利益為目標，經費常來自政府預算或公眾支持，應維持獨立、公正並服務多元閱聽人。</w:t>
            </w:r>
          </w:p>
        </w:tc>
      </w:tr>
      <w:tr w:rsidR="001D5351" w14:paraId="774FD31B" w14:textId="77777777">
        <w:tblPrEx>
          <w:tblCellMar>
            <w:top w:w="0" w:type="dxa"/>
            <w:bottom w:w="0" w:type="dxa"/>
          </w:tblCellMar>
        </w:tblPrEx>
        <w:tc>
          <w:tcPr>
            <w:tcW w:w="2800" w:type="dxa"/>
          </w:tcPr>
          <w:p w14:paraId="097005D6" w14:textId="77777777" w:rsidR="001D5351" w:rsidRDefault="00000000">
            <w:r>
              <w:lastRenderedPageBreak/>
              <w:t>守門人（</w:t>
            </w:r>
            <w:r>
              <w:t>gate-keeper</w:t>
            </w:r>
            <w:r>
              <w:t>）</w:t>
            </w:r>
          </w:p>
        </w:tc>
        <w:tc>
          <w:tcPr>
            <w:tcW w:w="6600" w:type="dxa"/>
          </w:tcPr>
          <w:p w14:paraId="299C96BE" w14:textId="77777777" w:rsidR="001D5351" w:rsidRDefault="00000000">
            <w:r>
              <w:t>媒體產製過程中負責選擇、過濾、重組、編輯與呈現資訊的人員或機制。</w:t>
            </w:r>
          </w:p>
        </w:tc>
      </w:tr>
      <w:tr w:rsidR="001D5351" w14:paraId="6B015DFF" w14:textId="77777777">
        <w:tblPrEx>
          <w:tblCellMar>
            <w:top w:w="0" w:type="dxa"/>
            <w:bottom w:w="0" w:type="dxa"/>
          </w:tblCellMar>
        </w:tblPrEx>
        <w:tc>
          <w:tcPr>
            <w:tcW w:w="2800" w:type="dxa"/>
          </w:tcPr>
          <w:p w14:paraId="4C62BC14" w14:textId="77777777" w:rsidR="001D5351" w:rsidRDefault="00000000">
            <w:r>
              <w:t>媒體產製</w:t>
            </w:r>
          </w:p>
        </w:tc>
        <w:tc>
          <w:tcPr>
            <w:tcW w:w="6600" w:type="dxa"/>
          </w:tcPr>
          <w:p w14:paraId="02D61C1E" w14:textId="77777777" w:rsidR="001D5351" w:rsidRDefault="00000000">
            <w:r>
              <w:t>新聞或節目從蒐集資料、選題、採訪、編輯到發布的過程，會受到媒體組織立場與資源條件影響。</w:t>
            </w:r>
          </w:p>
        </w:tc>
      </w:tr>
      <w:tr w:rsidR="001D5351" w14:paraId="3B03FAC2" w14:textId="77777777">
        <w:tblPrEx>
          <w:tblCellMar>
            <w:top w:w="0" w:type="dxa"/>
            <w:bottom w:w="0" w:type="dxa"/>
          </w:tblCellMar>
        </w:tblPrEx>
        <w:tc>
          <w:tcPr>
            <w:tcW w:w="2800" w:type="dxa"/>
          </w:tcPr>
          <w:p w14:paraId="2E7FFB32" w14:textId="77777777" w:rsidR="001D5351" w:rsidRDefault="00000000">
            <w:r>
              <w:t>媒體再現（</w:t>
            </w:r>
            <w:r>
              <w:t>Media representation</w:t>
            </w:r>
            <w:r>
              <w:t>）</w:t>
            </w:r>
          </w:p>
        </w:tc>
        <w:tc>
          <w:tcPr>
            <w:tcW w:w="6600" w:type="dxa"/>
          </w:tcPr>
          <w:p w14:paraId="7ED48BCC" w14:textId="77777777" w:rsidR="001D5351" w:rsidRDefault="00000000">
            <w:r>
              <w:t>媒體將事件或資料經選擇、加工、重組、包裝後呈現給閱聽人的二度呈現過程。</w:t>
            </w:r>
          </w:p>
        </w:tc>
      </w:tr>
      <w:tr w:rsidR="001D5351" w14:paraId="32BA3475" w14:textId="77777777">
        <w:tblPrEx>
          <w:tblCellMar>
            <w:top w:w="0" w:type="dxa"/>
            <w:bottom w:w="0" w:type="dxa"/>
          </w:tblCellMar>
        </w:tblPrEx>
        <w:tc>
          <w:tcPr>
            <w:tcW w:w="2800" w:type="dxa"/>
          </w:tcPr>
          <w:p w14:paraId="78806704" w14:textId="77777777" w:rsidR="001D5351" w:rsidRDefault="00000000">
            <w:r>
              <w:t>同溫層效應</w:t>
            </w:r>
          </w:p>
        </w:tc>
        <w:tc>
          <w:tcPr>
            <w:tcW w:w="6600" w:type="dxa"/>
          </w:tcPr>
          <w:p w14:paraId="70FCF119" w14:textId="77777777" w:rsidR="001D5351" w:rsidRDefault="00000000">
            <w:r>
              <w:t>人們傾向接觸與自己立場相近的資訊與社群，使相似觀點反覆強化並排除不同聲音。</w:t>
            </w:r>
          </w:p>
        </w:tc>
      </w:tr>
      <w:tr w:rsidR="001D5351" w14:paraId="010F8A71" w14:textId="77777777">
        <w:tblPrEx>
          <w:tblCellMar>
            <w:top w:w="0" w:type="dxa"/>
            <w:bottom w:w="0" w:type="dxa"/>
          </w:tblCellMar>
        </w:tblPrEx>
        <w:tc>
          <w:tcPr>
            <w:tcW w:w="2800" w:type="dxa"/>
          </w:tcPr>
          <w:p w14:paraId="2C7B4765" w14:textId="77777777" w:rsidR="001D5351" w:rsidRDefault="00000000">
            <w:r>
              <w:t>過濾泡泡（</w:t>
            </w:r>
            <w:r>
              <w:t>Filter bubble</w:t>
            </w:r>
            <w:r>
              <w:t>）</w:t>
            </w:r>
          </w:p>
        </w:tc>
        <w:tc>
          <w:tcPr>
            <w:tcW w:w="6600" w:type="dxa"/>
          </w:tcPr>
          <w:p w14:paraId="106EADD5" w14:textId="77777777" w:rsidR="001D5351" w:rsidRDefault="00000000">
            <w:r>
              <w:t>網路平台或演算法依使用者偏好篩選資訊，使使用者較少接觸不同立場與多元資訊。</w:t>
            </w:r>
          </w:p>
        </w:tc>
      </w:tr>
      <w:tr w:rsidR="001D5351" w14:paraId="7BD3D024" w14:textId="77777777">
        <w:tblPrEx>
          <w:tblCellMar>
            <w:top w:w="0" w:type="dxa"/>
            <w:bottom w:w="0" w:type="dxa"/>
          </w:tblCellMar>
        </w:tblPrEx>
        <w:tc>
          <w:tcPr>
            <w:tcW w:w="2800" w:type="dxa"/>
          </w:tcPr>
          <w:p w14:paraId="6401D3C1" w14:textId="77777777" w:rsidR="001D5351" w:rsidRDefault="00000000">
            <w:r>
              <w:t>置入性行銷</w:t>
            </w:r>
          </w:p>
        </w:tc>
        <w:tc>
          <w:tcPr>
            <w:tcW w:w="6600" w:type="dxa"/>
          </w:tcPr>
          <w:p w14:paraId="352587B4" w14:textId="77777777" w:rsidR="001D5351" w:rsidRDefault="00000000">
            <w:r>
              <w:t>廣告商或政府付費將產品、服務或政策訊息融入新聞、戲劇或節目內容，使閱聽人在不易察覺下受到誘導。</w:t>
            </w:r>
          </w:p>
        </w:tc>
      </w:tr>
      <w:tr w:rsidR="001D5351" w14:paraId="4984C4A2" w14:textId="77777777">
        <w:tblPrEx>
          <w:tblCellMar>
            <w:top w:w="0" w:type="dxa"/>
            <w:bottom w:w="0" w:type="dxa"/>
          </w:tblCellMar>
        </w:tblPrEx>
        <w:tc>
          <w:tcPr>
            <w:tcW w:w="2800" w:type="dxa"/>
          </w:tcPr>
          <w:p w14:paraId="07E4E76C" w14:textId="77777777" w:rsidR="001D5351" w:rsidRDefault="00000000">
            <w:r>
              <w:t>媒體近用權</w:t>
            </w:r>
          </w:p>
        </w:tc>
        <w:tc>
          <w:tcPr>
            <w:tcW w:w="6600" w:type="dxa"/>
          </w:tcPr>
          <w:p w14:paraId="738ED4C0" w14:textId="77777777" w:rsidR="001D5351" w:rsidRDefault="00000000">
            <w:r>
              <w:t>人民使用媒體表達意見、回應報導或接近傳播資源的權利，用以促進資訊平等與公共參與。</w:t>
            </w:r>
          </w:p>
        </w:tc>
      </w:tr>
      <w:tr w:rsidR="001D5351" w14:paraId="7D7D8EF7" w14:textId="77777777">
        <w:tblPrEx>
          <w:tblCellMar>
            <w:top w:w="0" w:type="dxa"/>
            <w:bottom w:w="0" w:type="dxa"/>
          </w:tblCellMar>
        </w:tblPrEx>
        <w:tc>
          <w:tcPr>
            <w:tcW w:w="2800" w:type="dxa"/>
          </w:tcPr>
          <w:p w14:paraId="05785080" w14:textId="77777777" w:rsidR="001D5351" w:rsidRDefault="00000000">
            <w:r>
              <w:t>接近權（更正權）</w:t>
            </w:r>
          </w:p>
        </w:tc>
        <w:tc>
          <w:tcPr>
            <w:tcW w:w="6600" w:type="dxa"/>
          </w:tcPr>
          <w:p w14:paraId="73B4E336" w14:textId="77777777" w:rsidR="001D5351" w:rsidRDefault="00000000">
            <w:r>
              <w:t>媒體近用權的一種，指當媒體報導或評論造成錯誤、不實或不公平呈現時，當事人可要求回應或更正。</w:t>
            </w:r>
          </w:p>
        </w:tc>
      </w:tr>
      <w:tr w:rsidR="001D5351" w14:paraId="652CFFDE" w14:textId="77777777">
        <w:tblPrEx>
          <w:tblCellMar>
            <w:top w:w="0" w:type="dxa"/>
            <w:bottom w:w="0" w:type="dxa"/>
          </w:tblCellMar>
        </w:tblPrEx>
        <w:tc>
          <w:tcPr>
            <w:tcW w:w="2800" w:type="dxa"/>
          </w:tcPr>
          <w:p w14:paraId="54E29FC7" w14:textId="77777777" w:rsidR="001D5351" w:rsidRDefault="00000000">
            <w:r>
              <w:t>數位落差</w:t>
            </w:r>
          </w:p>
        </w:tc>
        <w:tc>
          <w:tcPr>
            <w:tcW w:w="6600" w:type="dxa"/>
          </w:tcPr>
          <w:p w14:paraId="15186D7D" w14:textId="77777777" w:rsidR="001D5351" w:rsidRDefault="00000000">
            <w:r>
              <w:t>因城鄉、社經地位、年齡、性別或教育等差異，造成民眾在取得數位設備、網路環境與操作能力上的落差。</w:t>
            </w:r>
          </w:p>
        </w:tc>
      </w:tr>
    </w:tbl>
    <w:p w14:paraId="0A60CEFA" w14:textId="77777777" w:rsidR="001D5351" w:rsidRDefault="001D5351"/>
    <w:p w14:paraId="3EF112CE" w14:textId="77777777" w:rsidR="001D5351" w:rsidRDefault="00000000">
      <w:pPr>
        <w:pStyle w:val="1"/>
      </w:pPr>
      <w:r>
        <w:t>第六課</w:t>
      </w:r>
      <w:r>
        <w:t xml:space="preserve"> </w:t>
      </w:r>
      <w:r>
        <w:t>公平正義與多元文化（</w:t>
      </w:r>
      <w:r>
        <w:t xml:space="preserve">20 </w:t>
      </w:r>
      <w:r>
        <w:t>個）</w:t>
      </w:r>
    </w:p>
    <w:tbl>
      <w:tblPr>
        <w:tblW w:w="0" w:type="auto"/>
        <w:tblInd w:w="10" w:type="dxa"/>
        <w:tblBorders>
          <w:top w:val="single" w:sz="8" w:space="0" w:color="666666"/>
          <w:left w:val="single" w:sz="8" w:space="0" w:color="666666"/>
          <w:bottom w:val="single" w:sz="8" w:space="0" w:color="666666"/>
          <w:right w:val="single" w:sz="8" w:space="0" w:color="666666"/>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800"/>
        <w:gridCol w:w="6600"/>
      </w:tblGrid>
      <w:tr w:rsidR="001D5351" w14:paraId="5662FF2B" w14:textId="77777777">
        <w:tblPrEx>
          <w:tblCellMar>
            <w:top w:w="0" w:type="dxa"/>
            <w:bottom w:w="0" w:type="dxa"/>
          </w:tblCellMar>
        </w:tblPrEx>
        <w:tc>
          <w:tcPr>
            <w:tcW w:w="2800" w:type="dxa"/>
            <w:shd w:val="clear" w:color="auto" w:fill="D9EAF7"/>
          </w:tcPr>
          <w:p w14:paraId="416B3557" w14:textId="77777777" w:rsidR="001D5351" w:rsidRDefault="00000000">
            <w:r>
              <w:rPr>
                <w:b/>
              </w:rPr>
              <w:t>專有名詞</w:t>
            </w:r>
          </w:p>
        </w:tc>
        <w:tc>
          <w:tcPr>
            <w:tcW w:w="6600" w:type="dxa"/>
            <w:shd w:val="clear" w:color="auto" w:fill="D9EAF7"/>
          </w:tcPr>
          <w:p w14:paraId="48EA0F8A" w14:textId="77777777" w:rsidR="001D5351" w:rsidRDefault="00000000">
            <w:r>
              <w:rPr>
                <w:b/>
              </w:rPr>
              <w:t>定義</w:t>
            </w:r>
          </w:p>
        </w:tc>
      </w:tr>
      <w:tr w:rsidR="001D5351" w14:paraId="434EE336" w14:textId="77777777">
        <w:tblPrEx>
          <w:tblCellMar>
            <w:top w:w="0" w:type="dxa"/>
            <w:bottom w:w="0" w:type="dxa"/>
          </w:tblCellMar>
        </w:tblPrEx>
        <w:tc>
          <w:tcPr>
            <w:tcW w:w="2800" w:type="dxa"/>
          </w:tcPr>
          <w:p w14:paraId="20EC7FA6" w14:textId="77777777" w:rsidR="001D5351" w:rsidRDefault="00000000">
            <w:r>
              <w:t>形式平等</w:t>
            </w:r>
          </w:p>
        </w:tc>
        <w:tc>
          <w:tcPr>
            <w:tcW w:w="6600" w:type="dxa"/>
          </w:tcPr>
          <w:p w14:paraId="2BE9CC49" w14:textId="77777777" w:rsidR="001D5351" w:rsidRDefault="00000000">
            <w:r>
              <w:t>強調法律或制度對所有人採取相同標準，不因身分差異而明文區別對待。</w:t>
            </w:r>
          </w:p>
        </w:tc>
      </w:tr>
      <w:tr w:rsidR="001D5351" w14:paraId="6DFE72E1" w14:textId="77777777">
        <w:tblPrEx>
          <w:tblCellMar>
            <w:top w:w="0" w:type="dxa"/>
            <w:bottom w:w="0" w:type="dxa"/>
          </w:tblCellMar>
        </w:tblPrEx>
        <w:tc>
          <w:tcPr>
            <w:tcW w:w="2800" w:type="dxa"/>
          </w:tcPr>
          <w:p w14:paraId="446F6E87" w14:textId="77777777" w:rsidR="001D5351" w:rsidRDefault="00000000">
            <w:r>
              <w:t>實質平等</w:t>
            </w:r>
          </w:p>
        </w:tc>
        <w:tc>
          <w:tcPr>
            <w:tcW w:w="6600" w:type="dxa"/>
          </w:tcPr>
          <w:p w14:paraId="01EFF7B4" w14:textId="77777777" w:rsidR="001D5351" w:rsidRDefault="00000000">
            <w:r>
              <w:t>重視不同群體起點與處境差異，必要時透過合理差別待遇讓人們真正享有平等機會。</w:t>
            </w:r>
          </w:p>
        </w:tc>
      </w:tr>
      <w:tr w:rsidR="001D5351" w14:paraId="2989390B" w14:textId="77777777">
        <w:tblPrEx>
          <w:tblCellMar>
            <w:top w:w="0" w:type="dxa"/>
            <w:bottom w:w="0" w:type="dxa"/>
          </w:tblCellMar>
        </w:tblPrEx>
        <w:tc>
          <w:tcPr>
            <w:tcW w:w="2800" w:type="dxa"/>
          </w:tcPr>
          <w:p w14:paraId="558A0E50" w14:textId="77777777" w:rsidR="001D5351" w:rsidRDefault="00000000">
            <w:r>
              <w:t>分配正義</w:t>
            </w:r>
          </w:p>
        </w:tc>
        <w:tc>
          <w:tcPr>
            <w:tcW w:w="6600" w:type="dxa"/>
          </w:tcPr>
          <w:p w14:paraId="2C53E51C" w14:textId="77777777" w:rsidR="001D5351" w:rsidRDefault="00000000">
            <w:r>
              <w:t>社會資源、利益或負擔應依合理標準分配，並考量個人差異與社會需求。</w:t>
            </w:r>
          </w:p>
        </w:tc>
      </w:tr>
      <w:tr w:rsidR="001D5351" w14:paraId="1C3229EA" w14:textId="77777777">
        <w:tblPrEx>
          <w:tblCellMar>
            <w:top w:w="0" w:type="dxa"/>
            <w:bottom w:w="0" w:type="dxa"/>
          </w:tblCellMar>
        </w:tblPrEx>
        <w:tc>
          <w:tcPr>
            <w:tcW w:w="2800" w:type="dxa"/>
          </w:tcPr>
          <w:p w14:paraId="105E149F" w14:textId="77777777" w:rsidR="001D5351" w:rsidRDefault="00000000">
            <w:r>
              <w:lastRenderedPageBreak/>
              <w:t>匡正正義</w:t>
            </w:r>
          </w:p>
        </w:tc>
        <w:tc>
          <w:tcPr>
            <w:tcW w:w="6600" w:type="dxa"/>
          </w:tcPr>
          <w:p w14:paraId="0449BF07" w14:textId="77777777" w:rsidR="001D5351" w:rsidRDefault="00000000">
            <w:r>
              <w:t>當錯誤政策或不當行為造成傷害時，透過糾正、賠償或補償來修復不公平。</w:t>
            </w:r>
          </w:p>
        </w:tc>
      </w:tr>
      <w:tr w:rsidR="001D5351" w14:paraId="570FA55A" w14:textId="77777777">
        <w:tblPrEx>
          <w:tblCellMar>
            <w:top w:w="0" w:type="dxa"/>
            <w:bottom w:w="0" w:type="dxa"/>
          </w:tblCellMar>
        </w:tblPrEx>
        <w:tc>
          <w:tcPr>
            <w:tcW w:w="2800" w:type="dxa"/>
          </w:tcPr>
          <w:p w14:paraId="4B7EBC97" w14:textId="77777777" w:rsidR="001D5351" w:rsidRDefault="00000000">
            <w:r>
              <w:t>程序正義</w:t>
            </w:r>
          </w:p>
        </w:tc>
        <w:tc>
          <w:tcPr>
            <w:tcW w:w="6600" w:type="dxa"/>
          </w:tcPr>
          <w:p w14:paraId="5815CABD" w14:textId="77777777" w:rsidR="001D5351" w:rsidRDefault="00000000">
            <w:r>
              <w:t>司法判決或行政調查等公共決定，必須依公平合理且合法的程序進行，避免國家恣意侵害人民權利。</w:t>
            </w:r>
          </w:p>
        </w:tc>
      </w:tr>
      <w:tr w:rsidR="001D5351" w14:paraId="123A91F2" w14:textId="77777777">
        <w:tblPrEx>
          <w:tblCellMar>
            <w:top w:w="0" w:type="dxa"/>
            <w:bottom w:w="0" w:type="dxa"/>
          </w:tblCellMar>
        </w:tblPrEx>
        <w:tc>
          <w:tcPr>
            <w:tcW w:w="2800" w:type="dxa"/>
          </w:tcPr>
          <w:p w14:paraId="0E474EBB" w14:textId="77777777" w:rsidR="001D5351" w:rsidRDefault="00000000">
            <w:r>
              <w:t>積極性平權措施</w:t>
            </w:r>
          </w:p>
        </w:tc>
        <w:tc>
          <w:tcPr>
            <w:tcW w:w="6600" w:type="dxa"/>
          </w:tcPr>
          <w:p w14:paraId="60A41806" w14:textId="77777777" w:rsidR="001D5351" w:rsidRDefault="00000000">
            <w:r>
              <w:t>為彌補特定群體過去遭受的不平等或歧視，給予合理差別待遇或優惠措施，以促進實質平等。</w:t>
            </w:r>
          </w:p>
        </w:tc>
      </w:tr>
      <w:tr w:rsidR="001D5351" w14:paraId="7C58E1ED" w14:textId="77777777">
        <w:tblPrEx>
          <w:tblCellMar>
            <w:top w:w="0" w:type="dxa"/>
            <w:bottom w:w="0" w:type="dxa"/>
          </w:tblCellMar>
        </w:tblPrEx>
        <w:tc>
          <w:tcPr>
            <w:tcW w:w="2800" w:type="dxa"/>
          </w:tcPr>
          <w:p w14:paraId="6BFDBCBD" w14:textId="77777777" w:rsidR="001D5351" w:rsidRDefault="00000000">
            <w:r>
              <w:t>社會安全制度</w:t>
            </w:r>
          </w:p>
        </w:tc>
        <w:tc>
          <w:tcPr>
            <w:tcW w:w="6600" w:type="dxa"/>
          </w:tcPr>
          <w:p w14:paraId="003E97F9" w14:textId="77777777" w:rsidR="001D5351" w:rsidRDefault="00000000">
            <w:r>
              <w:t>政府依公平正義理念進行社會資源分配，保障人民基本生活與人性尊嚴的制度安排。</w:t>
            </w:r>
          </w:p>
        </w:tc>
      </w:tr>
      <w:tr w:rsidR="001D5351" w14:paraId="02F9DAD1" w14:textId="77777777">
        <w:tblPrEx>
          <w:tblCellMar>
            <w:top w:w="0" w:type="dxa"/>
            <w:bottom w:w="0" w:type="dxa"/>
          </w:tblCellMar>
        </w:tblPrEx>
        <w:tc>
          <w:tcPr>
            <w:tcW w:w="2800" w:type="dxa"/>
          </w:tcPr>
          <w:p w14:paraId="61E86A74" w14:textId="77777777" w:rsidR="001D5351" w:rsidRDefault="00000000">
            <w:r>
              <w:t>社會保險</w:t>
            </w:r>
          </w:p>
        </w:tc>
        <w:tc>
          <w:tcPr>
            <w:tcW w:w="6600" w:type="dxa"/>
          </w:tcPr>
          <w:p w14:paraId="2C48E159" w14:textId="77777777" w:rsidR="001D5351" w:rsidRDefault="00000000">
            <w:r>
              <w:t>國家透過立法強制人民參加保險，由政府、雇主與受保險人共同負擔保費，藉由社會互助分攤風險。</w:t>
            </w:r>
          </w:p>
        </w:tc>
      </w:tr>
      <w:tr w:rsidR="001D5351" w14:paraId="787339F2" w14:textId="77777777">
        <w:tblPrEx>
          <w:tblCellMar>
            <w:top w:w="0" w:type="dxa"/>
            <w:bottom w:w="0" w:type="dxa"/>
          </w:tblCellMar>
        </w:tblPrEx>
        <w:tc>
          <w:tcPr>
            <w:tcW w:w="2800" w:type="dxa"/>
          </w:tcPr>
          <w:p w14:paraId="23CFFE84" w14:textId="77777777" w:rsidR="001D5351" w:rsidRDefault="00000000">
            <w:r>
              <w:t>社會福利服務</w:t>
            </w:r>
          </w:p>
        </w:tc>
        <w:tc>
          <w:tcPr>
            <w:tcW w:w="6600" w:type="dxa"/>
          </w:tcPr>
          <w:p w14:paraId="7D63CB17" w14:textId="77777777" w:rsidR="001D5351" w:rsidRDefault="00000000">
            <w:r>
              <w:t>政府或相關機構提供照顧、支持與服務，協助兒童、老人、身心障礙者或其他需要協助者維持生活品質。</w:t>
            </w:r>
          </w:p>
        </w:tc>
      </w:tr>
      <w:tr w:rsidR="001D5351" w14:paraId="1BAE4BF1" w14:textId="77777777">
        <w:tblPrEx>
          <w:tblCellMar>
            <w:top w:w="0" w:type="dxa"/>
            <w:bottom w:w="0" w:type="dxa"/>
          </w:tblCellMar>
        </w:tblPrEx>
        <w:tc>
          <w:tcPr>
            <w:tcW w:w="2800" w:type="dxa"/>
          </w:tcPr>
          <w:p w14:paraId="7782FE35" w14:textId="77777777" w:rsidR="001D5351" w:rsidRDefault="00000000">
            <w:r>
              <w:t>社會救助</w:t>
            </w:r>
          </w:p>
        </w:tc>
        <w:tc>
          <w:tcPr>
            <w:tcW w:w="6600" w:type="dxa"/>
          </w:tcPr>
          <w:p w14:paraId="775F3CD9" w14:textId="77777777" w:rsidR="001D5351" w:rsidRDefault="00000000">
            <w:r>
              <w:t>政府照顧低收入戶、急難或災害受害者等無法維持基本生活者，是社會安全網的最後一道防線。</w:t>
            </w:r>
          </w:p>
        </w:tc>
      </w:tr>
      <w:tr w:rsidR="001D5351" w14:paraId="544FF4E1" w14:textId="77777777">
        <w:tblPrEx>
          <w:tblCellMar>
            <w:top w:w="0" w:type="dxa"/>
            <w:bottom w:w="0" w:type="dxa"/>
          </w:tblCellMar>
        </w:tblPrEx>
        <w:tc>
          <w:tcPr>
            <w:tcW w:w="2800" w:type="dxa"/>
          </w:tcPr>
          <w:p w14:paraId="08A420D0" w14:textId="77777777" w:rsidR="001D5351" w:rsidRDefault="00000000">
            <w:r>
              <w:t>多元文化</w:t>
            </w:r>
          </w:p>
        </w:tc>
        <w:tc>
          <w:tcPr>
            <w:tcW w:w="6600" w:type="dxa"/>
          </w:tcPr>
          <w:p w14:paraId="1B8B9140" w14:textId="77777777" w:rsidR="001D5351" w:rsidRDefault="00000000">
            <w:r>
              <w:t>承認不同族群、語言、宗教與生活方式的差異，並追求各文化能平等共存與相互尊重。</w:t>
            </w:r>
          </w:p>
        </w:tc>
      </w:tr>
      <w:tr w:rsidR="001D5351" w14:paraId="5E407A87" w14:textId="77777777">
        <w:tblPrEx>
          <w:tblCellMar>
            <w:top w:w="0" w:type="dxa"/>
            <w:bottom w:w="0" w:type="dxa"/>
          </w:tblCellMar>
        </w:tblPrEx>
        <w:tc>
          <w:tcPr>
            <w:tcW w:w="2800" w:type="dxa"/>
          </w:tcPr>
          <w:p w14:paraId="1A723129" w14:textId="77777777" w:rsidR="001D5351" w:rsidRDefault="00000000">
            <w:r>
              <w:t>文化相對論</w:t>
            </w:r>
          </w:p>
        </w:tc>
        <w:tc>
          <w:tcPr>
            <w:tcW w:w="6600" w:type="dxa"/>
          </w:tcPr>
          <w:p w14:paraId="29D4A812" w14:textId="77777777" w:rsidR="001D5351" w:rsidRDefault="00000000">
            <w:r>
              <w:t>理解文化時避免只用自身文化標準評價他者，而應放在其社會脈絡中理解不同文化的意義。</w:t>
            </w:r>
          </w:p>
        </w:tc>
      </w:tr>
      <w:tr w:rsidR="001D5351" w14:paraId="0776D38B" w14:textId="77777777">
        <w:tblPrEx>
          <w:tblCellMar>
            <w:top w:w="0" w:type="dxa"/>
            <w:bottom w:w="0" w:type="dxa"/>
          </w:tblCellMar>
        </w:tblPrEx>
        <w:tc>
          <w:tcPr>
            <w:tcW w:w="2800" w:type="dxa"/>
          </w:tcPr>
          <w:p w14:paraId="6AA96B86" w14:textId="77777777" w:rsidR="001D5351" w:rsidRDefault="00000000">
            <w:r>
              <w:t>我族中心主義（</w:t>
            </w:r>
            <w:r>
              <w:t>Ethnocentrism</w:t>
            </w:r>
            <w:r>
              <w:t>）</w:t>
            </w:r>
          </w:p>
        </w:tc>
        <w:tc>
          <w:tcPr>
            <w:tcW w:w="6600" w:type="dxa"/>
          </w:tcPr>
          <w:p w14:paraId="008EF5C2" w14:textId="77777777" w:rsidR="001D5351" w:rsidRDefault="00000000">
            <w:r>
              <w:t>以自身文化標準衡量、評價甚至貶抑其他文化，認為自己的文化較優越，可能造成偏見與不平等。</w:t>
            </w:r>
          </w:p>
        </w:tc>
      </w:tr>
      <w:tr w:rsidR="001D5351" w14:paraId="5DD79C8A" w14:textId="77777777">
        <w:tblPrEx>
          <w:tblCellMar>
            <w:top w:w="0" w:type="dxa"/>
            <w:bottom w:w="0" w:type="dxa"/>
          </w:tblCellMar>
        </w:tblPrEx>
        <w:tc>
          <w:tcPr>
            <w:tcW w:w="2800" w:type="dxa"/>
          </w:tcPr>
          <w:p w14:paraId="749E3A96" w14:textId="77777777" w:rsidR="001D5351" w:rsidRDefault="00000000">
            <w:r>
              <w:t>文化位階</w:t>
            </w:r>
          </w:p>
        </w:tc>
        <w:tc>
          <w:tcPr>
            <w:tcW w:w="6600" w:type="dxa"/>
          </w:tcPr>
          <w:p w14:paraId="753A6F95" w14:textId="77777777" w:rsidR="001D5351" w:rsidRDefault="00000000">
            <w:r>
              <w:t>社會將不同文化群體過度簡化並排序，賦予優劣、進步落後等高低評價，可能導致壓迫。</w:t>
            </w:r>
          </w:p>
        </w:tc>
      </w:tr>
    </w:tbl>
    <w:p w14:paraId="425E575E" w14:textId="77777777" w:rsidR="001D5351" w:rsidRDefault="001D5351"/>
    <w:sectPr w:rsidR="001D5351">
      <w:pgSz w:w="11906" w:h="16838"/>
      <w:pgMar w:top="1134" w:right="1134" w:bottom="1134" w:left="1134"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微軟正黑體">
    <w:altName w:val="Microsoft JhengHei"/>
    <w:panose1 w:val="020B0604030504040204"/>
    <w:charset w:val="88"/>
    <w:family w:val="swiss"/>
    <w:pitch w:val="variable"/>
    <w:sig w:usb0="00000087" w:usb1="288F4000" w:usb2="00000016" w:usb3="00000000" w:csb0="00100009"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79"/>
  <w:bordersDoNotSurroundHeader/>
  <w:bordersDoNotSurroundFooter/>
  <w:proofState w:spelling="clean" w:grammar="clean"/>
  <w:defaultTabStop w:val="480"/>
  <w:characterSpacingControl w:val="doNotCompress"/>
  <w:compat>
    <w:useFELayout/>
    <w:compatSetting w:name="compatibilityMode" w:uri="http://schemas.microsoft.com/office/word" w:val="12"/>
    <w:compatSetting w:name="useWord2013TrackBottomHyphenation" w:uri="http://schemas.microsoft.com/office/word" w:val="1"/>
  </w:compat>
  <w:rsids>
    <w:rsidRoot w:val="001D5351"/>
    <w:rsid w:val="001D5351"/>
    <w:rsid w:val="005D38BA"/>
    <w:rsid w:val="00952BF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27676438"/>
  <w15:docId w15:val="{51EF94B2-4F84-094A-858B-ACE76E2C8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Aptos" w:eastAsia="微軟正黑體" w:hAnsi="Aptos"/>
      <w:sz w:val="22"/>
      <w:szCs w:val="22"/>
    </w:rPr>
  </w:style>
  <w:style w:type="paragraph" w:styleId="1">
    <w:name w:val="heading 1"/>
    <w:basedOn w:val="a"/>
    <w:uiPriority w:val="9"/>
    <w:qFormat/>
    <w:pPr>
      <w:spacing w:before="240" w:after="120"/>
      <w:outlineLvl w:val="0"/>
    </w:pPr>
    <w:rPr>
      <w:b/>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uiPriority w:val="10"/>
    <w:qFormat/>
    <w:pPr>
      <w:spacing w:after="240"/>
    </w:pPr>
    <w:rPr>
      <w:b/>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7</Pages>
  <Words>642</Words>
  <Characters>3664</Characters>
  <Application>Microsoft Office Word</Application>
  <DocSecurity>0</DocSecurity>
  <Lines>30</Lines>
  <Paragraphs>8</Paragraphs>
  <ScaleCrop>false</ScaleCrop>
  <Company/>
  <LinksUpToDate>false</LinksUpToDate>
  <CharactersWithSpaces>4298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公民與社會 第一至第六課專有名詞定義總表</dc:title>
  <dc:creator>Codex</dc:creator>
  <cp:lastModifiedBy>聖義 王</cp:lastModifiedBy>
  <cp:revision>2</cp:revision>
  <dcterms:created xsi:type="dcterms:W3CDTF">2026-06-29T07:36:00Z</dcterms:created>
  <dcterms:modified xsi:type="dcterms:W3CDTF">2026-06-29T07:44:00Z</dcterms:modified>
</cp:coreProperties>
</file>