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276" w:lineRule="auto"/>
        <w:jc w:val="center"/>
        <w:rPr>
          <w:b w:val="1"/>
          <w:bCs w:val="1"/>
        </w:rPr>
      </w:pPr>
      <w:bookmarkStart w:colFirst="0" w:colLast="0" w:name="_y1u8lu481md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Aim3 蛋白質藥物優化平台：核心成果展示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="276" w:lineRule="auto"/>
        <w:jc w:val="center"/>
        <w:rPr/>
      </w:pPr>
      <w:bookmarkStart w:colFirst="0" w:colLast="0" w:name="_cjdk49x9q1y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年 4 月 22 日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5h3s9lqwz0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 平台概述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>
        <w:t>本平台為子計畫 3（Designer Agent）第一年 MVP，對齊計畫書 p.25–28 要求，以沈延盛教授團隊提供之三條真實 PAI-1 mimetic peptide（PDAC 先導案例）為主線交付：從序列輸入（FASTA）、標靶結構（LRP1 CR cluster II）、Alanine scanning 熱點識別、多目標最佳化到 J(x) 綜合評分，產生可供子計畫 4 PBPK/QSP 模擬之候選分子套件。原以 Barnase-Barstar PPI 為主的展示降級為「演算法驗證層」保留（詳見 §5），作為 SKEMPI-rich 情境下 NSGA-II 收斂正確性的 benchmark。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gax3vgzncc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 核心技術引擎：AI 與物理雙軌驅動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line="276" w:lineRule="auto"/>
        <w:rPr/>
      </w:pPr>
      <w:bookmarkStart w:colFirst="0" w:colLast="0" w:name="_rn9otkskycz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核心引擎（I）：熱點識別與突變策略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 Figure 1 所示，平台採用以下策略識別關鍵位點並生成突變：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丙胺酸掃描（Alanine Scanning）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：將原始殘基替換為丙胺酸，以移除側鏈貢獻，精準識別熱點（Hotspots）位點。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混合型突變（Mixed Strategy）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 60%60\%60% 數據驅動與 40%40\%40% 演化保守保底策略，平衡活性與成藥性（Developability）。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0613" cy="248286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482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Figure 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熱點識別與混合型突變策略示意圖。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line="276" w:lineRule="auto"/>
        <w:rPr/>
      </w:pPr>
      <w:bookmarkStart w:colFirst="0" w:colLast="0" w:name="_37ulfljq2rf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核心引擎（II）：多目標最佳化排序（NSGA-II）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平台利用 NSGA-II 演算法同時優化以下維度（詳見 Figure 2）：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結合親和力（∆∆Gbinding\Delta\Delta G_{binding}ΔΔGbinding​）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：提升絕對親和力（pKd​）。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>
        <w:t>F2 免疫原性風險（Immunogenicity，雙通道）：MHC-I（主）採 MHCflurry 2.0（Apache-2.0 授權）+ 台灣漢人 HLA-I panel；MHC-II（副）保留 IEDB-2010 PSSM 作 CD4-help sanity check。組合權重 0.7×MHC-I + 0.3×MHC-II。Penalty 硬條件：任何 9-mer window 新生 MHC-I %rank &lt; 2 即 flag。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聚集傾向（Aggregation）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：評估成藥性，避免生產沉澱。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單體摺疊穩定性（ΔΔGstability\Delta\Delta G_{stability}ΔΔGstability​）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：確保蛋白結構不崩潰。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動力學解離速率（koffrelativek_{off_relative}koffr​elative​）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：延長停留時間（Residence Time），決定藥效持久度。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167664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167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Figure 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NSGA-II 五大核心目標優化維度圖。</w:t>
      </w:r>
    </w:p>
    <w:p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 PAI-1 Mimetic 真實胜肽模擬（本年度主線交付）</w:t>
      </w:r>
    </w:p>
    <w:p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為什麼選這三條胜肽</w:t>
      </w:r>
    </w:p>
    <w:p>
      <w:pPr>
        <w:spacing w:after="240" w:before="240" w:line="276" w:lineRule="auto"/>
        <w:rPr/>
      </w:pPr>
      <w:r>
        <w:t xml:space="preserve">計畫書 p.1 原文指定：「另也設計 PAI-1 mimicking peptides（共有三個候選胜肽 6980、7688、6988），初步顯示可與 LRP1 結合並被 PAI-1 競爭」。</w:t>
      </w:r>
    </w:p>
    <w:p>
      <w:pPr>
        <w:spacing w:after="240" w:before="240" w:line="276" w:lineRule="auto"/>
        <w:rPr/>
      </w:pPr>
      <w:r>
        <w:t xml:space="preserve">機制定位：三條胜肽為 PAI-1 的 LRP1 結合片段模擬物，目的為競爭性佔住 LRP1 CR cluster 之 PAI-1 結合位，阻斷 PAI-1/LRP1 軸、解除 PDAC 腫瘤纖維化（對應計畫書 p.3–4 PDAC 治療長期失敗主因）。</w:t>
      </w:r>
    </w:p>
    <w:p>
      <w:pPr>
        <w:spacing w:after="240" w:before="240" w:line="276" w:lineRule="auto"/>
        <w:rPr/>
      </w:pPr>
      <w:r>
        <w:t xml:space="preserve">關鍵標靶修正：Docking receptor = LRP1（UniProt P98157）CR cluster II（PDB 1J8E），不是 PAI-1。FITC-Ahx 為實驗螢光探針，電腦模擬使用裸序列；metadata 保留修飾/batch/purity 以支援證據可追溯要求。</w:t>
      </w:r>
    </w:p>
    <w:p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三條胜肽 Metadata（GenScript COA）</w:t>
      </w:r>
    </w:p>
    <w:p>
      <w:pPr>
        <w:spacing w:after="240" w:before="240" w:line="276" w:lineRule="auto"/>
        <w:rPr/>
      </w:pPr>
      <w:r>
        <w:t xml:space="preserve">69-80：KGMAPALRHLYK（12 AA），MW 1887.24，HPLC 98.0%，Lot U230SGAJG0-9/PE1018。</w:t>
      </w:r>
    </w:p>
    <w:p>
      <w:pPr>
        <w:spacing w:after="240" w:before="240" w:line="276" w:lineRule="auto"/>
        <w:rPr/>
      </w:pPr>
      <w:r>
        <w:t xml:space="preserve">76-88：RHLYKELMGPWNK（13 AA），MW 2174.51，HPLC 99.3%，Lot U230SGAJG0-11/PE1020。</w:t>
      </w:r>
    </w:p>
    <w:p>
      <w:pPr>
        <w:spacing w:after="240" w:before="240" w:line="276" w:lineRule="auto"/>
        <w:rPr/>
      </w:pPr>
      <w:r>
        <w:t xml:space="preserve">69-88：KGMAPALRHLYKELMGPWNK（20 AA），MW 2843.36，HPLC 98.2%，Lot U230SGAJG0-7/PE1016。</w:t>
      </w:r>
    </w:p>
    <w:p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模擬 / 分析流水線（對齊計畫書 p.26–28 S1–S8）</w:t>
      </w:r>
    </w:p>
    <w:p>
      <w:pPr>
        <w:spacing w:after="240" w:before="240" w:line="276" w:lineRule="auto"/>
        <w:rPr/>
      </w:pPr>
      <w:r>
        <w:t xml:space="preserve">S1 資料標準化：FASTA + JSON schema（vendor/lot/purity/FITC 修飾 metadata 齊備）。</w:t>
      </w:r>
    </w:p>
    <w:p>
      <w:pPr>
        <w:spacing w:after="240" w:before="240" w:line="276" w:lineRule="auto"/>
        <w:rPr/>
      </w:pPr>
      <w:r>
        <w:t xml:space="preserve">S2 標靶結構：LRP1 CR cluster II（PDB 1J8E）切片作 docking receptor；Year-1 用 crystal，Year-2 接 AF-Multimer。</w:t>
      </w:r>
    </w:p>
    <w:p>
      <w:pPr>
        <w:spacing w:after="240" w:before="240" w:line="276" w:lineRule="auto"/>
        <w:rPr/>
      </w:pPr>
      <w:r>
        <w:t xml:space="preserve">S3 Docking / PLIF / Alanine scanning：SKEMPI-calibrated alanine scan 已完成；HPEPDOCK / ADCP / PLIF 於 Year-2 接入。</w:t>
      </w:r>
    </w:p>
    <w:p>
      <w:pPr>
        <w:spacing w:after="240" w:before="240" w:line="276" w:lineRule="auto"/>
        <w:rPr/>
      </w:pPr>
      <w:r>
        <w:t xml:space="preserve">S4 免疫原性 + ADMET：MHCflurry 2.0 + 台灣漢人 HLA-I panel 已落地；ADMETlab 2.0 / Tox21 / AiZynthFinder 於 S7 接入。</w:t>
      </w:r>
    </w:p>
    <w:p>
      <w:pPr>
        <w:spacing w:after="240" w:before="240" w:line="276" w:lineRule="auto"/>
        <w:rPr/>
      </w:pPr>
      <w:r>
        <w:t xml:space="preserve">S5 Modifiable Sites List：Schema 固定 JSON 產出，欄位 residue_index / allowed_mutations / interface_importance_score / interaction_type / evidence_source 完全對齊計畫書 p.27。</w:t>
      </w:r>
    </w:p>
    <w:p>
      <w:pPr>
        <w:spacing w:after="240" w:before="240" w:line="276" w:lineRule="auto"/>
        <w:rPr/>
      </w:pPr>
      <w:r>
        <w:t xml:space="preserve">S6 候選生成 + 評分：NSGA-II + Mixed Strategy（60% 數據驅動 + 40% 演化保守），每 seed 320 變體，Pareto Rank 標註。</w:t>
      </w:r>
    </w:p>
    <w:p>
      <w:pPr>
        <w:spacing w:after="240" w:before="240" w:line="276" w:lineRule="auto"/>
        <w:rPr/>
      </w:pPr>
      <w:r>
        <w:t xml:space="preserve">S7 ADMET / Tox21 / Synth：Year-1 以啟發式 proxy 填值並於 summary JSON 明文註記 proxy sources；Year-2 接 ADMETlab 2.0 REST。</w:t>
      </w:r>
    </w:p>
    <w:p>
      <w:pPr>
        <w:spacing w:after="240" w:before="240" w:line="276" w:lineRule="auto"/>
        <w:rPr/>
      </w:pPr>
      <w:r>
        <w:t xml:space="preserve">S8 候選池交付：3 個獨立池 + 1 個 merged 池，共 1260 候選變體，帶 J(x) / Pareto / MHC-I 新 binder flag / aggregation flag。</w:t>
      </w:r>
    </w:p>
    <w:p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Alanine Mechanism-Consistency Benchmark</w:t>
      </w:r>
    </w:p>
    <w:p>
      <w:pPr>
        <w:spacing w:after="240" w:before="240" w:line="276" w:lineRule="auto"/>
        <w:rPr/>
      </w:pPr>
      <w:r>
        <w:t xml:space="preserve">對齊計畫書 p.27「以濕實驗數據作為約束指導 AI 設計」要求，將三條胜肽 K→A 點變異以 SKEMPI ΔΔG 評分，檢驗平台是否重現 Stefansson 2004 報告的 PAI-1-LRP1 K69/K80/K88 熱點方向：</w:t>
      </w:r>
    </w:p>
    <w:p>
      <w:pPr>
        <w:spacing w:after="240" w:before="240" w:line="276" w:lineRule="auto"/>
        <w:rPr/>
      </w:pPr>
      <w:r>
        <w:t xml:space="preserve">• 69-80 K69A：ΔΔG = +2.349，Kd fold 52.89×，SKEMPI n=428，方向一致 ✓</w:t>
      </w:r>
    </w:p>
    <w:p>
      <w:pPr>
        <w:spacing w:after="240" w:before="240" w:line="276" w:lineRule="auto"/>
        <w:rPr/>
      </w:pPr>
      <w:r>
        <w:t xml:space="preserve">• 69-80 K80A：ΔΔG = +2.097，Kd fold 34.56×，n=428，方向一致 ✓</w:t>
      </w:r>
    </w:p>
    <w:p>
      <w:pPr>
        <w:spacing w:after="240" w:before="240" w:line="276" w:lineRule="auto"/>
        <w:rPr/>
      </w:pPr>
      <w:r>
        <w:t xml:space="preserve">• 76-88 K80A：ΔΔG = +1.990，Kd fold 28.84×，n=428，方向一致 ✓</w:t>
      </w:r>
    </w:p>
    <w:p>
      <w:pPr>
        <w:spacing w:after="240" w:before="240" w:line="276" w:lineRule="auto"/>
        <w:rPr/>
      </w:pPr>
      <w:r>
        <w:t xml:space="preserve">• 76-88 K88A：ΔΔG = +1.943，Kd fold 26.64×，n=428，方向一致 ✓</w:t>
      </w:r>
    </w:p>
    <w:p>
      <w:pPr>
        <w:spacing w:after="240" w:before="240" w:line="276" w:lineRule="auto"/>
        <w:rPr/>
      </w:pPr>
      <w:r>
        <w:t xml:space="preserve">• 69-88 K69A / K80A / K88A：ΔΔG = +2.349 / +2.097 / +2.462，Kd fold 52.89 / 34.56 / 64.02×，方向全一致 ✓</w:t>
      </w:r>
    </w:p>
    <w:p>
      <w:pPr>
        <w:spacing w:after="240" w:before="240" w:line="276" w:lineRule="auto"/>
        <w:rPr/>
      </w:pPr>
      <w:r>
        <w:rPr>
          <w:b/>
          <w:bCs/>
        </w:rPr>
        <w:t xml:space="preserve">結論：7/7 K→A 單點突變均重現已知熱點方向；69-88 三點疊加 ΔΔG = +6.908。平台對 PAI-1 mimetic 機制敏感性獲得濕實驗級佐證。</w:t>
      </w:r>
    </w:p>
    <w:p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3.5 候選池產出總覽</w:t>
      </w:r>
    </w:p>
    <w:p>
      <w:pPr>
        <w:spacing w:after="240" w:before="240" w:line="276" w:lineRule="auto"/>
        <w:rPr/>
      </w:pPr>
      <w:r>
        <w:t xml:space="preserve">Pool 69-80：320 變體，Pareto Rank 1 計 38，J_max 0.2698，J_mean 0.0223。</w:t>
      </w:r>
    </w:p>
    <w:p>
      <w:pPr>
        <w:spacing w:after="240" w:before="240" w:line="276" w:lineRule="auto"/>
        <w:rPr/>
      </w:pPr>
      <w:r>
        <w:t xml:space="preserve">Pool 76-88：320 變體，Pareto Rank 1 計 20，J_max 0.3765，J_mean 0.0655。</w:t>
      </w:r>
    </w:p>
    <w:p>
      <w:pPr>
        <w:spacing w:after="240" w:before="240" w:line="276" w:lineRule="auto"/>
        <w:rPr/>
      </w:pPr>
      <w:r>
        <w:t xml:space="preserve">Pool 69-88：320 變體，Pareto Rank 1 計 40，J_max 0.2902，J_mean 0.0268。</w:t>
      </w:r>
    </w:p>
    <w:p>
      <w:pPr>
        <w:spacing w:after="240" w:before="240" w:line="276" w:lineRule="auto"/>
        <w:rPr/>
      </w:pPr>
      <w:r>
        <w:t xml:space="preserve">Merged pool（各池 top-K 去重聯合重排）：300 變體，Pareto Rank 1 計 25，J_max 0.3765，J_mean 0.1014。</w:t>
      </w:r>
    </w:p>
    <w:p>
      <w:pPr>
        <w:spacing w:after="240" w:before="240" w:line="276" w:lineRule="auto"/>
        <w:rPr/>
      </w:pPr>
      <w:r>
        <w:t xml:space="preserve">跨池 Pareto Top-3（Merged）：M0001 = 76-88 / H2I，ΔΔG = −1.814 kcal/mol，immuno 0.251，不引新 MHC-I binder，J(x) = 0.3765；M0002 = 76-88 / N12V，ΔΔG = −1.588，immuno 0.134，不引新 binder，J(x) = 0.3649；M0003 = 76-88 / R1N+H2M，ΔΔG = −1.596，immuno 0.254，J(x) = 0.3632。</w:t>
      </w:r>
    </w:p>
    <w:p>
      <w:pPr>
        <w:spacing w:after="240" w:before="240" w:line="276" w:lineRule="auto"/>
        <w:rPr/>
      </w:pPr>
      <w:r>
        <w:rPr>
          <w:b/>
          <w:bCs/>
        </w:rPr>
        <w:t xml:space="preserve">解讀：76-88 seed 在三條中 J(x) 最佳，且 top variants 均不引入新 MHC-I binder，可直接作為下游 SPR / 細胞 assay 優先驗證候選。</w:t>
      </w:r>
    </w:p>
    <w:p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3.6 Modifiable Sites List（schema 固定產出）</w:t>
      </w:r>
    </w:p>
    <w:p>
      <w:pPr>
        <w:spacing w:after="240" w:before="240" w:line="276" w:lineRule="auto"/>
        <w:rPr/>
      </w:pPr>
      <w:r>
        <w:t xml:space="preserve">Schema 欄位完全對齊計畫書 p.27 要求：residue_index、wt_aa、allowed_mutations、interface_importance_score、interaction_type、evidence_source、modifiable。</w:t>
      </w:r>
    </w:p>
    <w:p>
      <w:pPr>
        <w:spacing w:after="240" w:before="240" w:line="276" w:lineRule="auto"/>
        <w:rPr/>
      </w:pPr>
      <w:r>
        <w:rPr>
          <w:b/>
          <w:bCs/>
        </w:rPr>
        <w:t xml:space="preserve">evidence_source 為強制欄位（範例：SKEMPI:428_records | Stefansson2004 | UniProt:P05121），確保每個位點建議都可回溯到資料點，符合計畫書「欄位固定、證據可驗證」與「避免設計端出現無法追查的黑盒子結論」要求。</w:t>
      </w:r>
    </w:p>
    <w:p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 三條胜肽與原 Barnase-Barstar 優化分析的關係</w:t>
      </w:r>
    </w:p>
    <w:p>
      <w:pPr>
        <w:spacing w:after="240" w:before="240" w:line="276" w:lineRule="auto"/>
        <w:rPr/>
      </w:pPr>
      <w:r>
        <w:t xml:space="preserve">定位層級：演算法層（Barnase-Barstar §5）驗證 NSGA-II / SPEA2 在 SKEMPI-rich 情境下正確收斂（10 筆實驗佐證）；演算法可信後，套用到實際標靶層（PAI-1 mimetic peptides §3），產出候選分子套件送子計畫 4 做 PBPK/QSP 虛擬臨床試驗。</w:t>
      </w:r>
    </w:p>
    <w:p>
      <w:pPr>
        <w:spacing w:after="240" w:before="240" w:line="276" w:lineRule="auto"/>
        <w:rPr/>
      </w:pPr>
      <w:r>
        <w:t xml:space="preserve">前版方向修正：前版把 Barnase-Barstar 的 5 維優化當終點輸出，但計畫書要求子計畫 3 Year-1 輸出必須是對 PAI-1 先導案例的候選分子套件（p.25）。Barnase-Barstar 是演算法驗證 benchmark，不是交付標的；本版已歸位。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yyqvedhisip" w:id="6"/>
      <w:bookmarkEnd w:id="6"/>
      <w:r>
        <w:t>5 演算法驗證層：以 Barnase-Barstar 為例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PPI 預測之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經典複合物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進行演算法驗證，成功篩選出 Pareto Rank 1 候選分子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V0071（突變 D22L）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（詳見 Figure 2）：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親和力躍升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：pKdpK_dpKd​ 達 10.3710.3710.37（達到 pM 等級）。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動力學極佳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：koffk_{off}koff​ 傾向值僅 0.0030.0030.003。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真實數據佐證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：具備 10 筆 SKEMPI 2.0 實驗數據支持。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jayjws3wgsn" w:id="7"/>
      <w:bookmarkEnd w:id="7"/>
      <w:r>
        <w:t>6 額外實驗：SPEA2 多保真度演算法測試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 NSGA-II，平台亦額外實驗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SPEA2 雙層篩選引擎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，並利用 SKEMPI 2.0 實驗數據進行真實驗證（Figure 3）：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目標向量建立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：定義三大評估基準，包含結構骨架合理性（f1f_1f1​）、結合親和力提升（f2f_2f2​，最大化 −ΔΔG-\Delta\Delta G−ΔΔG）與 ADMET 綜合安全性（f3f_3f3​）。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低保真度海選（Low Fidelity）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：僅計算耗時極短的 f1f_1f1​ 與 f3f_3f3​，利用 SPEA2 快速更新 Pareto Archive，以淘汰劣質解。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高保真度精算（High Fidelity）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：僅挑選 Top K 菁英分子進入耗時的分子對接（Docking）與動力學計算，將完整分數寫回並迭代下一代。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實測產出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：終端機成功產出非支配最優解集合（Pareto Front）。以 PDB: 5K39_A_B 為例，突變 </w:t>
      </w:r>
      <w:r w:rsidDel="00000000" w:rsidR="00000000" w:rsidRPr="00000000">
        <w:rPr>
          <w:b w:val="1"/>
          <w:bCs w:val="1"/>
          <w:rtl w:val="0"/>
        </w:rPr>
        <w:t xml:space="preserve">MB108A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成功尋獲有利的 ΔΔG\Delta\Delta GΔΔG（−0.5096-0.5096−0.5096），且於三維度指標上取得平衡。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81500" cy="2952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Figure 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SPEA2 多保真度演算法實驗。</w:t>
      </w:r>
    </w:p>
    <w:sectPr>
      <w:headerReference r:id="rId9" w:type="first"/>
      <w:footerReference r:id="rId10" w:type="first"/>
      <w:pgSz w:h="16834" w:w="11909" w:orient="portrait"/>
      <w:pgMar w:bottom="566.9291338582677" w:top="566.9291338582677" w:left="850.3937007874016" w:right="850.3937007874016" w:header="283.46456692913387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