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Arial" w:eastAsia="Microsoft YaHei"/>
        </w:rPr>
        <w:t xml:space="preserve">天策 MCP 平台能力需求文档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当前对 Tiance MCP 的需求，归纳为：把原来由 </w:t>
      </w:r>
      <w:r>
        <w:rPr>
          <w:rFonts w:ascii="Consolas" w:cs="Consolas" w:eastAsia="Consolas" w:hAnsi="Consolas"/>
        </w:rPr>
        <w:t xml:space="preserve">tiance-*</w:t>
      </w:r>
      <w:r>
        <w:rPr>
          <w:rFonts w:ascii="Arial" w:eastAsia="Microsoft YaHei"/>
        </w:rPr>
        <w:t xml:space="preserve"> skills 负责的接口发现、身份处理、元数据查询、配置校验、组件操作和策略测试，下沉为稳定、结构化、可审计的平台能力；Skill 保留需求理解、配置生成和流程编排。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一、总体定位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Tiance MCP 须承担四类职责：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提供可信的 Tiance 系统上下文。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提供确定性的查询、校验和操作能力。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隔离底层接口、鉴权方式、字段映射和版本差异。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提供结构化的策略测试调用、结果获取和诊断能力。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不应做成 HTTP API 转发器，须返回领域化结果，使调用方无需理解大量内部接口细节。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二、身份与权限需求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身份与权限是所有 MCP 能力的基础，须满足以下要求：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MCP HTTP 层须使用 OAuth 2.1/OIDC Bearer Token 进行认证，不接受 Cookie、CSRF Token 或浏览器会话凭证。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bifrost 继续作为用户、机构、角色和权限的权威来源。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须将外部身份映射为统一 </w:t>
      </w:r>
      <w:r>
        <w:rPr>
          <w:rFonts w:ascii="Consolas" w:cs="Consolas" w:eastAsia="Consolas" w:hAnsi="Consolas"/>
        </w:rPr>
        <w:t xml:space="preserve">ActorContext</w:t>
      </w:r>
      <w:r>
        <w:rPr>
          <w:rFonts w:ascii="Arial" w:eastAsia="Microsoft YaHei"/>
        </w:rPr>
        <w:t xml:space="preserve">，至少包含：用户、机构、应用、环境、角色、会话、权限版本。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每个 Tool 须声明并检查 capability，至少包括：</w:t>
      </w:r>
      <w:r>
        <w:rPr>
          <w:rFonts w:ascii="Consolas" w:cs="Consolas" w:eastAsia="Consolas" w:hAnsi="Consolas"/>
        </w:rPr>
        <w:t xml:space="preserve">tiance.metadata.read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tiance.component.import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tiance.component.publish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tiance.component.invoke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tiance.policy.test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tiance.policy.test.read</w:t>
      </w:r>
      <w:r>
        <w:rPr>
          <w:rFonts w:ascii="Arial" w:eastAsia="Microsoft YaHei"/>
        </w:rPr>
        <w:t xml:space="preserve">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Tool 参数不得覆盖身份上下文中的机构、应用和环境范围。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MCP 会话须与浏览器会话分离，不共用 </w:t>
      </w:r>
      <w:r>
        <w:rPr>
          <w:rFonts w:ascii="Consolas" w:cs="Consolas" w:eastAsia="Consolas" w:hAnsi="Consolas"/>
        </w:rPr>
        <w:t xml:space="preserve">tokenMD5</w:t>
      </w:r>
      <w:r>
        <w:rPr>
          <w:rFonts w:ascii="Arial" w:eastAsia="Microsoft YaHei"/>
        </w:rPr>
        <w:t xml:space="preserve">，避免互相踢出登录状态。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身份上下文缺失时须拒绝请求，不得回退为系统账号。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不得向调用方暴露 Token、密码、Cookie、CSRF Token 等敏感信息。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三、元数据能力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本部分用于替代 </w:t>
      </w:r>
      <w:r>
        <w:rPr>
          <w:rFonts w:ascii="Consolas" w:cs="Consolas" w:eastAsia="Consolas" w:hAnsi="Consolas"/>
        </w:rPr>
        <w:t xml:space="preserve">tiance-metadata-scout</w:t>
      </w:r>
      <w:r>
        <w:rPr>
          <w:rFonts w:ascii="Arial" w:eastAsia="Microsoft YaHei"/>
        </w:rPr>
        <w:t xml:space="preserve"> 的平台交互逻辑。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须支持以下元数据能力：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搜索字段、函数、规则、规则集、数据源、指标、服务参数、名单、模板、策略、决策工具、预警信号、外数指标等实体。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根据名称、别名、编码解析唯一实体；解析不唯一时须返回歧义错误和候选项列表，无匹配时须返回未找到错误和建议搜索词，权限不足时须返回权限拒绝错误。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获取实体详情和稳定 ID。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获取实体 Schema、字段约束、枚举和默认值。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获取组件之间的依赖关系和引用关系。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获取当前机构、应用、环境下的可见范围。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支持分页、过滤、批量查询。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返回元数据版本或快照标识，支持导出可复现的元数据快照和采集凭据。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内部须统一封装各底层 API 的分页协议差异（curPage/page/currentPage 等），对外暴露统一的分页参数。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对多层嵌套的元数据（如预警信号的业务分类→分组→子分组→信号、外数指标的报文类型→模板→指标→指标包），须返回扁平化结构或支持按层级过滤查询。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核心工具：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tiance.search_entities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tiance.resolve_entities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tiance.get_entity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tiance.get_schema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tiance.get_dependencies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tiance.export_metadata_snapshot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上述能力完整后，</w:t>
      </w:r>
      <w:r>
        <w:rPr>
          <w:rFonts w:ascii="Consolas" w:cs="Consolas" w:eastAsia="Consolas" w:hAnsi="Consolas"/>
        </w:rPr>
        <w:t xml:space="preserve">tiance-metadata-scout</w:t>
      </w:r>
      <w:r>
        <w:rPr>
          <w:rFonts w:ascii="Arial" w:eastAsia="Microsoft YaHei"/>
        </w:rPr>
        <w:t xml:space="preserve"> 可退化为薄编排 Skill，或在常规任务中完全取消。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四、配置生成辅助与校验能力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Forge Skill 仍负责理解用户需求和生成配置草稿，MCP 负责提供确定性的校验。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须支持以下校验能力：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获取组件类型对应的配置 Schema。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根据当前环境解析字段、函数、规则、指标等引用，返回每个引用的解析结果（唯一实体 ID 或错误信息）。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校验必填字段、数据类型、枚举和范围。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校验引用对象是否存在、是否唯一、是否有权限。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校验组件之间的依赖关系。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须执行平台真实语义校验，而非仅 JSON Schema 校验。校验范围须覆盖：节点类型白名单、字段编码格式、指标去重指纹（SHA-256）、编码分配冲突等平台业务规则。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返回明确的错误位置（fieldPath）、错误代码（errorCode）、修改建议（suggestion）。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将草稿规范化为 Tiance 可接受的标准 payload。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对已有组件生成语义差异（semantic diff）。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核心工具：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tiance.validate_draft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tiance.normalize_draft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tiance.resolve_references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tiance.diff_component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tiance.check_dependencies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上述能力可显著降低 </w:t>
      </w:r>
      <w:r>
        <w:rPr>
          <w:rFonts w:ascii="Consolas" w:cs="Consolas" w:eastAsia="Consolas" w:hAnsi="Consolas"/>
        </w:rPr>
        <w:t xml:space="preserve">rule-forge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field-forge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datasource-forge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service-config-forge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function-forge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etl-forge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policy-forge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realtime-metric-forge</w:t>
      </w:r>
      <w:r>
        <w:rPr>
          <w:rFonts w:ascii="Arial" w:eastAsia="Microsoft YaHei"/>
        </w:rPr>
        <w:t xml:space="preserve"> 对模型精确拼装底层 payload 的要求。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五、组件生命周期能力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本部分用于替代 </w:t>
      </w:r>
      <w:r>
        <w:rPr>
          <w:rFonts w:ascii="Consolas" w:cs="Consolas" w:eastAsia="Consolas" w:hAnsi="Consolas"/>
        </w:rPr>
        <w:t xml:space="preserve">tiance-component-lifecycle</w:t>
      </w:r>
      <w:r>
        <w:rPr>
          <w:rFonts w:ascii="Arial" w:eastAsia="Microsoft YaHei"/>
        </w:rPr>
        <w:t xml:space="preserve"> 中的接口调用和状态判断。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须覆盖以下能力：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查询组件列表和详情。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导出组件及依赖信息。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新建或导入组件。支持策略、规则集、函数、指标、数据源、ETL、字段、接口服务、基础配置等类型。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更新组件。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发布、上线、下线。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删除组件（须检查引用关系）。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查询操作状态，支持轮询和回调两种模式，返回操作进度、成功/失败明细、失败原因和恢复建议。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查询组件版本和历史。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校验当前状态是否允许目标操作。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处理异步任务。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写操作须采用两阶段模式，不得允许调用方绕过计划阶段直接执行：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plan_component_change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返回影响范围、差异、风险和 planId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用户或策略批准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execute_component_change(planId)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须支持批量组件导入，自动按依赖关系排序（基础配置→字段→数据源→函数→指标→规则集→策略），在计划阶段返回完整执行计划。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须在计划阶段检查引用阻塞关系：策略（POLICY）的强引用和弱引用均须阻塞；规则集（RULE</w:t>
      </w:r>
      <w:r>
        <w:rPr>
          <w:rFonts w:ascii="Arial" w:eastAsia="Microsoft YaHei"/>
          <w:i/>
          <w:iCs/>
        </w:rPr>
        <w:t xml:space="preserve">SET）、实时指标（INDEX</w:t>
      </w:r>
      <w:r>
        <w:rPr>
          <w:rFonts w:ascii="Arial" w:eastAsia="Microsoft YaHei"/>
        </w:rPr>
        <w:t xml:space="preserve">REALTIME）、接口服务（API_SERVICE）的强引用须阻塞，弱引用可放行。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核心工具：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tiance.get_component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tiance.list_components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tiance.export_component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tiance.plan_component_change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tiance.execute_component_change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tiance.get_operation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上述能力成熟后，</w:t>
      </w:r>
      <w:r>
        <w:rPr>
          <w:rFonts w:ascii="Consolas" w:cs="Consolas" w:eastAsia="Consolas" w:hAnsi="Consolas"/>
        </w:rPr>
        <w:t xml:space="preserve">tiance-component-lifecycle</w:t>
      </w:r>
      <w:r>
        <w:rPr>
          <w:rFonts w:ascii="Arial" w:eastAsia="Microsoft YaHei"/>
        </w:rPr>
        <w:t xml:space="preserve"> 的主要功能可被 MCP 取代。Forge Skill 可直接调用 MCP 完成校验、导入和发布。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六、策略测试能力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本部分用于下沉 </w:t>
      </w:r>
      <w:r>
        <w:rPr>
          <w:rFonts w:ascii="Consolas" w:cs="Consolas" w:eastAsia="Consolas" w:hAnsi="Consolas"/>
        </w:rPr>
        <w:t xml:space="preserve">tiance-policy-test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tiance-model-strategy</w:t>
      </w:r>
      <w:r>
        <w:rPr>
          <w:rFonts w:ascii="Arial" w:eastAsia="Microsoft YaHei"/>
        </w:rPr>
        <w:t xml:space="preserve">（测试部分）和 </w:t>
      </w:r>
      <w:r>
        <w:rPr>
          <w:rFonts w:ascii="Consolas" w:cs="Consolas" w:eastAsia="Consolas" w:hAnsi="Consolas"/>
        </w:rPr>
        <w:t xml:space="preserve">tiance-agent-loop</w:t>
      </w:r>
      <w:r>
        <w:rPr>
          <w:rFonts w:ascii="Arial" w:eastAsia="Microsoft YaHei"/>
        </w:rPr>
        <w:t xml:space="preserve"> 中的平台交互逻辑。</w:t>
      </w:r>
      <w:r>
        <w:rPr>
          <w:rFonts w:ascii="Consolas" w:cs="Consolas" w:eastAsia="Consolas" w:hAnsi="Consolas"/>
        </w:rPr>
        <w:t xml:space="preserve">tiance-testcase-generator</w:t>
      </w:r>
      <w:r>
        <w:rPr>
          <w:rFonts w:ascii="Arial" w:eastAsia="Microsoft YaHei"/>
        </w:rPr>
        <w:t xml:space="preserve"> 和 </w:t>
      </w:r>
      <w:r>
        <w:rPr>
          <w:rFonts w:ascii="Consolas" w:cs="Consolas" w:eastAsia="Consolas" w:hAnsi="Consolas"/>
        </w:rPr>
        <w:t xml:space="preserve">tiance-report-checker</w:t>
      </w:r>
      <w:r>
        <w:rPr>
          <w:rFonts w:ascii="Arial" w:eastAsia="Microsoft YaHei"/>
        </w:rPr>
        <w:t xml:space="preserve"> 为纯本地处理，无需 MCP 支持。</w:t>
      </w:r>
    </w:p>
    <w:p>
      <w:pPr>
        <w:pStyle w:val="Heading4"/>
      </w:pPr>
      <w:r>
        <w:rPr>
          <w:rFonts w:ascii="Arial" w:eastAsia="Microsoft YaHei"/>
        </w:rPr>
        <w:t xml:space="preserve">6.1 策略发现与版本管理</w:t>
      </w:r>
    </w:p>
    <w:p>
      <w:pPr>
        <w:spacing w:after="120" w:line="360" w:lineRule="auto"/>
        <w:ind w:firstLine="480"/>
      </w:pPr>
      <w:r>
        <w:rPr>
          <w:rFonts w:ascii="Consolas" w:cs="Consolas" w:eastAsia="Consolas" w:hAnsi="Consolas"/>
        </w:rPr>
        <w:t xml:space="preserve"> tiance-policy-test</w:t>
      </w:r>
      <w:r>
        <w:rPr>
          <w:rFonts w:ascii="Arial" w:eastAsia="Microsoft YaHei"/>
        </w:rPr>
        <w:t xml:space="preserve"> 要求每次提交前须从平台实时查询策略版本，禁止使用缓存。MCP 须支持：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按机构查询可用策略列表，返回策略编码、名称、当前发布版本号、业务类型和状态。此查询须始终返回平台实时数据，不得使用缓存。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获取策略详情，包括子策略编排、路由字段、决策结果配置。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获取策略的测试参数 Schema，包括必填字段、枚举约束、默认值。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比较调用方持有的策略配置版本与平台当前版本的差异。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核心工具：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tiance.search_entities(type="policy")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tiance.get_entity(type="policy")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tiance.get_schema(type="policy_test_config")</w:t>
      </w:r>
    </w:p>
    <w:p>
      <w:pPr>
        <w:pStyle w:val="Heading4"/>
      </w:pPr>
      <w:r>
        <w:rPr>
          <w:rFonts w:ascii="Arial" w:eastAsia="Microsoft YaHei"/>
        </w:rPr>
        <w:t xml:space="preserve">6.2 测试提交与执行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须支持以下测试提交能力：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支持单用例提交和批量提交，接受参数键值对或参数列表，返回每条用例的 uuid、token 和 childToken 映射关系。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须自动处理分批逻辑，调用方无需关心每批大小限制。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须在提交前对用例参数进行预校验：必填字段缺失（如 S</w:t>
      </w:r>
      <w:r>
        <w:rPr>
          <w:rFonts w:ascii="Arial" w:eastAsia="Microsoft YaHei"/>
          <w:i/>
          <w:iCs/>
        </w:rPr>
        <w:t xml:space="preserve">S</w:t>
      </w:r>
      <w:r>
        <w:rPr>
          <w:rFonts w:ascii="Arial" w:eastAsia="Microsoft YaHei"/>
        </w:rPr>
        <w:t xml:space="preserve">BIZID）须返回明确错误，不得静默执行；须检查数据类型、枚举值范围、JSON 数组格式（如 C</w:t>
      </w:r>
      <w:r>
        <w:rPr>
          <w:rFonts w:ascii="Arial" w:eastAsia="Microsoft YaHei"/>
          <w:i/>
          <w:iCs/>
        </w:rPr>
        <w:t xml:space="preserve">O</w:t>
      </w:r>
      <w:r>
        <w:rPr>
          <w:rFonts w:ascii="Arial" w:eastAsia="Microsoft YaHei"/>
        </w:rPr>
        <w:t xml:space="preserve">*INFO 类字段）。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返回结构化提交确认，包含每用例的提交状态（已受理/已拒绝/参数错误）。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uuid、token、childToken 三者须明确区分用途：uuid 用于报告和结果查询、token 用于执行数据查询、childToken 用于子策略详情查询。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提交失败时须返回分类错误：参数格式错误、策略版本过期、身份上下文失效、平台资源不足、平台内部错误。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核心工具：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tiance.submit_policy_test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tiance.get_test_submission_status</w:t>
      </w:r>
    </w:p>
    <w:p>
      <w:pPr>
        <w:pStyle w:val="Heading4"/>
      </w:pPr>
      <w:r>
        <w:rPr>
          <w:rFonts w:ascii="Arial" w:eastAsia="Microsoft YaHei"/>
        </w:rPr>
        <w:t xml:space="preserve">6.3 测试结果获取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须支持分级获取测试结果：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按 uuid 查询测试执行结果，返回每用例的通过/未通过状态和最终决策等级。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按 detailLevel 分级查询执行轨迹：sub_policy 级返回子策略执行状态（名称、childToken、是否执行）；rules 级返回规则命中详情（规则名称、编号、风险等级、所属规则集）；functions 级返回函数输出详情（函数名、入参、出参）；full 级返回完整组件执行日志（按执行顺序排列）。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须将底层内部数据结构（ChildFlowNode.extension.tokenIds、RuleSetServiceNode.extension.executeDetail.hitRules 等）转换为领域化结果，调用方无需理解平台内部节点模型。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提供测试报告基本信息查询，返回报告 URL、策略版本、测试时间、用例数量、通过率等汇总。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支持一次请求获取多条用例的执行结果。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核心工具：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tiance.get_test_result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tiance.get_execution_trace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tiance.get_test_report</w:t>
      </w:r>
    </w:p>
    <w:p>
      <w:pPr>
        <w:pStyle w:val="Heading4"/>
      </w:pPr>
      <w:r>
        <w:rPr>
          <w:rFonts w:ascii="Arial" w:eastAsia="Microsoft YaHei"/>
        </w:rPr>
        <w:t xml:space="preserve">6.4 批量测试</w:t>
      </w:r>
    </w:p>
    <w:p>
      <w:pPr>
        <w:spacing w:after="120" w:line="360" w:lineRule="auto"/>
        <w:ind w:firstLine="480"/>
      </w:pPr>
      <w:r>
        <w:rPr>
          <w:rFonts w:ascii="Consolas" w:cs="Consolas" w:eastAsia="Consolas" w:hAnsi="Consolas"/>
        </w:rPr>
        <w:t xml:space="preserve">tiance-model-strategy</w:t>
      </w:r>
      <w:r>
        <w:rPr>
          <w:rFonts w:ascii="Arial" w:eastAsia="Microsoft YaHei"/>
        </w:rPr>
        <w:t xml:space="preserve"> 的批量测试场景须独立支持。MCP 须支持：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通过上传测试文件创建批量测试任务，返回任务 ID。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查询批量测试任务的执行进度，返回已完成/总数/失败数。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获取批量测试的完整结果明细，包括每用例的通过/未通过状态、决策等级和命中规则。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在创建任务前校验上传文件格式，对已知不兼容的格式返回明确的格式错误和修正建议。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核心工具：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tiance.submit_batch_test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tiance.get_batch_test_status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tiance.get_batch_test_results</w:t>
      </w:r>
    </w:p>
    <w:p>
      <w:pPr>
        <w:pStyle w:val="Heading4"/>
      </w:pPr>
      <w:r>
        <w:rPr>
          <w:rFonts w:ascii="Arial" w:eastAsia="Microsoft YaHei"/>
        </w:rPr>
        <w:t xml:space="preserve">6.5 测试诊断辅助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须支持以下诊断能力：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对测试失败提供结构化诊断，区分以下类型：输入参数错误、目标规则未命中、函数执行异常（脚本错误/超时）、ETL 输出异常（字段缺失/类型不匹配）、平台执行超时、平台内部错误。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支持 dry-run 模式，仅校验测试参数格式和引用完整性，不实际执行策略调用。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核心工具：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tiance.diagnose_test_failure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tiance.validate_test_params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与 Skill 的分工：</w:t>
      </w:r>
      <w:r>
        <w:rPr>
          <w:rFonts w:ascii="Arial" w:eastAsia="Microsoft YaHei"/>
        </w:rPr>
        <w:t xml:space="preserve"> </w:t>
      </w:r>
      <w:r>
        <w:rPr>
          <w:rFonts w:ascii="Consolas" w:cs="Consolas" w:eastAsia="Consolas" w:hAnsi="Consolas"/>
        </w:rPr>
        <w:t xml:space="preserve">tiance-testcase-generator</w:t>
      </w:r>
      <w:r>
        <w:rPr>
          <w:rFonts w:ascii="Arial" w:eastAsia="Microsoft YaHei"/>
        </w:rPr>
        <w:t xml:space="preserve">（测试用例生成）为纯本地处理，可选通过 MCP 获取策略配置辅助用例设计。</w:t>
      </w:r>
      <w:r>
        <w:rPr>
          <w:rFonts w:ascii="Consolas" w:cs="Consolas" w:eastAsia="Consolas" w:hAnsi="Consolas"/>
        </w:rPr>
        <w:t xml:space="preserve">tiance-report-checker</w:t>
      </w:r>
      <w:r>
        <w:rPr>
          <w:rFonts w:ascii="Arial" w:eastAsia="Microsoft YaHei"/>
        </w:rPr>
        <w:t xml:space="preserve">（报告质量检查）为纯本地四维检查，不需要 MCP。</w:t>
      </w:r>
      <w:r>
        <w:rPr>
          <w:rFonts w:ascii="Consolas" w:cs="Consolas" w:eastAsia="Consolas" w:hAnsi="Consolas"/>
        </w:rPr>
        <w:t xml:space="preserve">tiance-agent-loop</w:t>
      </w:r>
      <w:r>
        <w:rPr>
          <w:rFonts w:ascii="Arial" w:eastAsia="Microsoft YaHei"/>
        </w:rPr>
        <w:t xml:space="preserve">（自动化闭环）的编排逻辑全部保留在 Skill，平台交互部分继承 policy-test 的 MCP 下沉。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七、安全和变更控制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所有写操作须满足以下要求：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默认只读，写操作须通过 plan-execute 两阶段模式执行。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明确区分查询、计划和执行。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高风险操作须用户确认或审批凭据。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planId</w:t>
      </w:r>
      <w:r>
        <w:rPr>
          <w:rFonts w:ascii="Arial" w:eastAsia="Microsoft YaHei"/>
        </w:rPr>
        <w:t xml:space="preserve"> 须绑定：用户、机构、环境、组件、变更内容摘要、有效期。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执行时须重新检查权限和组件版本，确保计划创建后未发生权限变更或组件被他人修改。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须支持幂等键（idempotencyKey），防止因重试导致重复导入或重复发布。相同幂等键的重复请求须返回首次执行结果，不产生额外副作用。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须使用乐观锁或版本号机制，防止并发修改导致覆盖他人变更。版本冲突时须返回错误码和当前最新版本号。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生产环境和测试环境须采取不同控制策略，生产环境的写操作须要求更高权限等级和更严格审批流程。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第一期仅支持测试环境，生产环境的发布、下线、删除放到后续阶段。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Token、密钥和敏感配置不得出现在 Tool 返回值、错误信息及审计日志中。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策略测试提交须限制并发数，避免对平台造成压力。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八、结构化返回与模型友好性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MCP 返回值须尽可能确定，避免让调用方解析自然语言。统一返回结构须包含：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"success": false,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"errorCode": "AMBIGUOUS_REFERENCE",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"message": "存在多个同名字段",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"fieldPath": "$.conditions[0].field",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"candidates": [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"id": "field-101",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"name": "客户等级",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"ownerOrg": "ORG001"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],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"retryable": false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统一返回中还须包含：</w:t>
      </w:r>
      <w:r>
        <w:rPr>
          <w:rFonts w:ascii="Consolas" w:cs="Consolas" w:eastAsia="Consolas" w:hAnsi="Consolas"/>
        </w:rPr>
        <w:t xml:space="preserve">traceId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environment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metadataVersion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permissionDecision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warnings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nextActions</w:t>
      </w:r>
      <w:r>
        <w:rPr>
          <w:rFonts w:ascii="Arial" w:eastAsia="Microsoft YaHei"/>
        </w:rPr>
        <w:t xml:space="preserve">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须定义标准错误码体系，至少包括：AMBIGUOUS</w:t>
      </w:r>
      <w:r>
        <w:rPr>
          <w:rFonts w:ascii="Arial" w:eastAsia="Microsoft YaHei"/>
          <w:i/>
          <w:iCs/>
        </w:rPr>
        <w:t xml:space="preserve">REFERENCE（解析不唯一）、NOT</w:t>
      </w:r>
      <w:r>
        <w:rPr>
          <w:rFonts w:ascii="Arial" w:eastAsia="Microsoft YaHei"/>
        </w:rPr>
        <w:t xml:space="preserve">FOUND（实体不存在）、PERMISSION</w:t>
      </w:r>
      <w:r>
        <w:rPr>
          <w:rFonts w:ascii="Arial" w:eastAsia="Microsoft YaHei"/>
          <w:i/>
          <w:iCs/>
        </w:rPr>
        <w:t xml:space="preserve">DENIED（权限不足）、MISSING</w:t>
      </w:r>
      <w:r>
        <w:rPr>
          <w:rFonts w:ascii="Arial" w:eastAsia="Microsoft YaHei"/>
        </w:rPr>
        <w:t xml:space="preserve">REQUIRED</w:t>
      </w:r>
      <w:r>
        <w:rPr>
          <w:rFonts w:ascii="Arial" w:eastAsia="Microsoft YaHei"/>
          <w:i/>
          <w:iCs/>
        </w:rPr>
        <w:t xml:space="preserve">FIELD（必填字段缺失）、INVALID</w:t>
      </w:r>
      <w:r>
        <w:rPr>
          <w:rFonts w:ascii="Arial" w:eastAsia="Microsoft YaHei"/>
        </w:rPr>
        <w:t xml:space="preserve">TYPE（数据类型不匹配）、INVALID</w:t>
      </w:r>
      <w:r>
        <w:rPr>
          <w:rFonts w:ascii="Arial" w:eastAsia="Microsoft YaHei"/>
          <w:i/>
          <w:iCs/>
        </w:rPr>
        <w:t xml:space="preserve">ENUM（枚举值不合法）、REFERENCE</w:t>
      </w:r>
      <w:r>
        <w:rPr>
          <w:rFonts w:ascii="Arial" w:eastAsia="Microsoft YaHei"/>
        </w:rPr>
        <w:t xml:space="preserve">NOT</w:t>
      </w:r>
      <w:r>
        <w:rPr>
          <w:rFonts w:ascii="Arial" w:eastAsia="Microsoft YaHei"/>
          <w:i/>
          <w:iCs/>
        </w:rPr>
        <w:t xml:space="preserve">FOUND（引用对象不存在）、VERSION</w:t>
      </w:r>
      <w:r>
        <w:rPr>
          <w:rFonts w:ascii="Arial" w:eastAsia="Microsoft YaHei"/>
        </w:rPr>
        <w:t xml:space="preserve">CONFLICT（版本冲突）、VERSION</w:t>
      </w:r>
      <w:r>
        <w:rPr>
          <w:rFonts w:ascii="Arial" w:eastAsia="Microsoft YaHei"/>
          <w:i/>
          <w:iCs/>
        </w:rPr>
        <w:t xml:space="preserve">EXPIRED（策略版本过期）、SESSION</w:t>
      </w:r>
      <w:r>
        <w:rPr>
          <w:rFonts w:ascii="Arial" w:eastAsia="Microsoft YaHei"/>
        </w:rPr>
        <w:t xml:space="preserve">INVALID（身份上下文失效）、RESOURCE</w:t>
      </w:r>
      <w:r>
        <w:rPr>
          <w:rFonts w:ascii="Arial" w:eastAsia="Microsoft YaHei"/>
          <w:i/>
          <w:iCs/>
        </w:rPr>
        <w:t xml:space="preserve">LIMIT（资源限制）、OPERATION</w:t>
      </w:r>
      <w:r>
        <w:rPr>
          <w:rFonts w:ascii="Arial" w:eastAsia="Microsoft YaHei"/>
        </w:rPr>
        <w:t xml:space="preserve">BLOCKED（引用阻塞）、INTERNAL_ERROR（平台内部错误）。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须支持批量接口，避免调用方逐条查询。批量接口须返回每条记录的处理结果。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策略测试结果须包含结构化字段：用例标识、uuid、token、通过/未通过状态、决策等级、子策略执行状态列表、命中规则列表（名称/编号/风险等级/规则集）、函数输出列表（函数名/入参/出参）。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九、审计和可观测性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每次 MCP 调用须记录以下信息：用户和机构、调用方标识（MCP Client）、Tool 名称、环境和资源范围、输入摘要（脱敏）、操作类型（查询/计划/执行）、权限决策、执行结果、</w:t>
      </w:r>
      <w:r>
        <w:rPr>
          <w:rFonts w:ascii="Consolas" w:cs="Consolas" w:eastAsia="Consolas" w:hAnsi="Consolas"/>
        </w:rPr>
        <w:t xml:space="preserve">traceId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planId</w:t>
      </w:r>
      <w:r>
        <w:rPr>
          <w:rFonts w:ascii="Arial" w:eastAsia="Microsoft YaHei"/>
        </w:rPr>
        <w:t xml:space="preserve">、幂等键、操作时间。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审计日志不得记录原始 Token、密码、密钥和敏感业务数据。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策略测试操作须额外记录：测试的策略版本号、提交的用例数量、通过率和失败率汇总。MCP 须支持按策略编码、版本号、时间范围查询历史测试记录。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十、Skill 与 MCP 的最终分工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能力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MCP 负责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 负责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身份认证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Token 校验、身份上下文、权限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不处理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元数据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查询、解析、快照、依赖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决定查询什么、解释结果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配置生成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Schema、引用解析、平台校验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理解需求、生成草稿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生命周期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计划、导入、更新、发布、下线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编排流程、向用户说明影响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策略发现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策略列表、版本、详情、Schema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决定测试哪个策略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测试提交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批量提交、参数校验、进度跟踪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准备用例、分批策略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测试获取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结果、执行轨迹、组件日志、报告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验证编排、比较框架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批量测试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文件上传、任务创建、轮询、结果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测试方法论、Excel 生成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测试诊断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结构化错误分类、参数预校验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综合分析、提出修改方案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测试用例生成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可选：提供策略配置辅助设计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表达式识别、条件分解、场景组合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报告质量检查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不处理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四维检查（纯本地）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自动化闭环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继承上述测试能力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触发检测、收敛判断、反馈分类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审批控制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planId、权限、幂等、审计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发起确认、选择执行策略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因此：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tiance-metadata-scout</w:t>
      </w:r>
      <w:r>
        <w:rPr>
          <w:rFonts w:ascii="Arial" w:eastAsia="Microsoft YaHei"/>
        </w:rPr>
        <w:t xml:space="preserve">：可被基本取代。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tiance-component-lifecycle</w:t>
      </w:r>
      <w:r>
        <w:rPr>
          <w:rFonts w:ascii="Arial" w:eastAsia="Microsoft YaHei"/>
        </w:rPr>
        <w:t xml:space="preserve">：接口执行部分可被完全取代。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各类 </w:t>
      </w:r>
      <w:r>
        <w:rPr>
          <w:rFonts w:ascii="Consolas" w:cs="Consolas" w:eastAsia="Consolas" w:hAnsi="Consolas"/>
        </w:rPr>
        <w:t xml:space="preserve">*-forge</w:t>
      </w:r>
      <w:r>
        <w:rPr>
          <w:rFonts w:ascii="Arial" w:eastAsia="Microsoft YaHei"/>
        </w:rPr>
        <w:t xml:space="preserve">：仍须保留，但会变薄，集中于需求理解、配置生成和验收。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tiance-policy-test</w:t>
      </w:r>
      <w:r>
        <w:rPr>
          <w:rFonts w:ascii="Arial" w:eastAsia="Microsoft YaHei"/>
        </w:rPr>
        <w:t xml:space="preserve">：平台交互部分（提交/获取/日志）大部分下沉到 MCP，Skill 保留验证编排、比较框架和报告生成。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tiance-model-strategy</w:t>
      </w:r>
      <w:r>
        <w:rPr>
          <w:rFonts w:ascii="Arial" w:eastAsia="Microsoft YaHei"/>
        </w:rPr>
        <w:t xml:space="preserve">：全链路平台交互下沉到 MCP，Skill 保留陷阱知识库、上线顺序编排和测试方法论。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tiance-testcase-generator</w:t>
      </w:r>
      <w:r>
        <w:rPr>
          <w:rFonts w:ascii="Arial" w:eastAsia="Microsoft YaHei"/>
        </w:rPr>
        <w:t xml:space="preserve">：基本不变，纯本地处理。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tiance-report-checker</w:t>
      </w:r>
      <w:r>
        <w:rPr>
          <w:rFonts w:ascii="Arial" w:eastAsia="Microsoft YaHei"/>
        </w:rPr>
        <w:t xml:space="preserve">：基本不变，纯本地处理。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tiance-agent-loop</w:t>
      </w:r>
      <w:r>
        <w:rPr>
          <w:rFonts w:ascii="Arial" w:eastAsia="Microsoft YaHei"/>
        </w:rPr>
        <w:t xml:space="preserve">：继承 policy-test 的 MCP 下沉，编排逻辑全部保留。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十一、建议的第一期范围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第一期不必一次覆盖所有能力，建议先实现：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（1）bifrost 身份上下文和 capability 权限（含 tiance.policy.test 权限）。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（2）元数据搜索、解析、详情、Schema 和依赖查询。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（3）配置草稿校验和引用解析。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（4）组件查询、导出、导入的计划与执行。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（5）操作状态、幂等和完整审计。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（6）策略发现：策略列表查询、版本获取、测试配置 Schema。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（7）策略测试提交：单用例和批量提交、参数预校验。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（8）测试结果获取：执行结果、子策略详情、规则命中、函数输出。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（9）仅支持测试环境，生产发布、下线、删除、批量测试放到后续阶段。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第一期完成后，配置生成场景形成标准调用链：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调用方生成配置草稿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MCP 解析引用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MCP 校验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MCP 生成变更计划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用户确认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MCP 执行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MCP 返回状态和审计证据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策略测试场景形成标准调用链：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获取策略版本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提交测试用例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获取执行结果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获取执行轨迹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比较框架判定（本地）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质量检查（本地）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→ 审计记录（自动）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2026-07-27T07:07:18.197Z</dcterms:created>
  <dcterms:modified xsi:type="dcterms:W3CDTF">2026-07-27T07:07:18.199Z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