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版本：v4.1（精简版）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华鲲振宇鲲鹏服务器（2U 起）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塔式工作站（Threadripper 或 Xeon）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昇腾 910C 或以上（首选），至少 96GB 显存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RTX5880 Ada 或以上，至少 96GB 显存（可 2 卡）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2.0，激活 3B，Agent 编程能力对标 Claude Sonnet 4.5）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Skill（含元数据采集、字段、函数、规则、指标、策略等 8 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按需求切换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复杂推理/大规模并发，35B 激活 3B 不够用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模型换 Qwen3.5-397B-A17B（旗舰 MoE 397B/17B，激活 17B），卡升级至 Ascend 950PR 或 8× 910C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未来需要模型微调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硬件升级至 Atlas 950 SuperPod 或多机 NPU 模组服务器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模型均为 Qwen 官方 Apache 2.0 开源权重，可完全离线部署，无授权费用。首选卡 Ascend 910C（2025 Q1 发布，128GB HBM）性能远超上一代 Atlas 300I Duo；若客户渠道暂时拿不到 910C，可用 Atlas 300I Duo 96GB 单卡跑 PoC，但生产建议直接上 910C。TDForge 为 PoC 主推，生产化后可迁移至 Dify + DeerFlow 服务化方案。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具体服务器型号与询价请客户找华鲲振宇、长虹佳华等鲲鹏 OEM 渠道确认；非信创 x86 塔式方案可找亘数或同类工作站厂商询价。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huggingface.co/Qwen（最新模型清单）· github.com/vllm-project/vllm-ascend（昇腾兼容支持矩阵）· e.huawei.com/cn/products/computing/ascend（华为昇腾产品线）。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2026-08-06T07:01:58.072Z</dcterms:created>
  <dcterms:modified xsi:type="dcterms:W3CDTF">2026-08-06T07:01:58.073Z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