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eastAsia="Microsoft YaHei"/>
        </w:rPr>
        <w:t xml:space="preserve">天策策略自动化配置 AI 建设方案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版本：v3.0（精简版）  日期：2026-08-06</w:t>
      </w:r>
    </w:p>
    <w:p>
      <w:pPr>
        <w:pStyle w:val="Heading2"/>
      </w:pPr>
      <w:r>
        <w:rPr>
          <w:rFonts w:ascii="Arial" w:eastAsia="Microsoft YaHei"/>
        </w:rPr>
        <w:t xml:space="preserve">一句话方案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一台服务器 + 一个模型 + 一个 Agent</w:t>
      </w:r>
      <w:r>
        <w:rPr>
          <w:rFonts w:ascii="Arial" w:eastAsia="Microsoft YaHei"/>
        </w:rPr>
        <w:t xml:space="preserve">，跑通天策策略自动化配置。</w:t>
      </w:r>
    </w:p>
    <w:p>
      <w:pPr>
        <w:pStyle w:val="Heading2"/>
      </w:pPr>
      <w:r>
        <w:rPr>
          <w:rFonts w:ascii="Arial" w:eastAsia="Microsoft YaHei"/>
        </w:rPr>
        <w:t xml:space="preserve">推荐配置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项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主推（信创）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主推（x86）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服务器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华鲲振宇 AT800 Model 3000（2U）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亘数塔式工作站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加速卡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1× Atlas 300I Duo 96GB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2× RTX5880 Ada 96GB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模型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Qwen3-30B-A3B（FP16 ~60GB）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Qwen3-30B-A3B（FP16 ~60GB）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推理引擎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vLLM + vllm-ascend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vLLM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Agent 平台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TDForge（桌面版）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TDForge（桌面版）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Skill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10 个 tiance-* 策略配置 Skill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10 个 tiance-* 策略配置 Skill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单节点含税价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¥150,000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¥206,000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eastAsia="Microsoft YaHei"/>
        </w:rPr>
        <w:t xml:space="preserve">备选升级路径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场景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硬件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含税价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长上下文/复杂 Groovy 生成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换模型 Qwen3-Next-80B-A3B（256K 原生上下文）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硬件同上，加卡张量并行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大规模并发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华鲲振宇 AT9508 G3 + 5× Atlas 300I Duo 480GB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¥270,000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未来要做微调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kunlunG5580 + 8× 昇腾 910B4 512GB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¥628,500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eastAsia="Microsoft YaHei"/>
        </w:rPr>
        <w:t xml:space="preserve">交付清单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模型权重（Qwen3-30B-A3B，Apache 2.0，离线包）· vLLM Docker 镜像 · TDForge 安装包 · 10 个 Skill · Chrome + CDP 配置 · 部署脚本 · 中文运维文档。</w:t>
      </w:r>
    </w:p>
    <w:p>
      <w:pPr>
        <w:pStyle w:val="Heading2"/>
      </w:pPr>
      <w:r>
        <w:rPr>
          <w:rFonts w:ascii="Arial" w:eastAsia="Microsoft YaHei"/>
        </w:rPr>
        <w:t xml:space="preserve">前提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Atlas 300I Duo 的 vLLM Ascend 支持等级须以 vllm-ascend 官方 support matrix 为准，PoC 阶段实测。Atlas 300V/300V Pro 是视频分析卡不能用于 LLM。</w:t>
      </w:r>
    </w:p>
    <w:p>
      <w:pPr>
        <w:pStyle w:val="Heading2"/>
      </w:pPr>
      <w:r>
        <w:rPr>
          <w:rFonts w:ascii="Arial" w:eastAsia="Microsoft YaHei"/>
        </w:rPr>
        <w:t xml:space="preserve">参考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huggingface.co/Qwen/Qwen3-30B-A3B · huggingface.co/Qwen/Qwen3-Next-80B-A3B-Instruct · github.com/vllm-project/vllm-ascend。价格来源：华鲲振宇渠道询价（2026-03-31）· 上海友卅科技亘数报价（2026-03-30）。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eastAsia="Microsoft YaHei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eastAsia="Microsoft YaHei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20"/>
      <w:outlineLvl w:val="2"/>
    </w:pPr>
    <w:rPr>
      <w:rFonts w:ascii="Arial" w:eastAsia="Microsoft YaHei"/>
      <w:b/>
      <w:bCs/>
      <w:color w:val="000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2026-08-06T06:51:15.756Z</dcterms:created>
  <dcterms:modified xsi:type="dcterms:W3CDTF">2026-08-06T06:51:15.757Z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