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天策策略自动化配置 AI 基础建设方案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版本：v4.3  日期：2026-08-06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跑通天策策略自动化配置，客户需要以下四样：</w:t>
      </w:r>
      <w:r>
        <w:rPr>
          <w:rFonts w:ascii="Arial" w:eastAsia="Microsoft YaHei"/>
          <w:b/>
          <w:bCs/>
        </w:rPr>
        <w:t xml:space="preserve">服务器 + 加速卡 + 模型 + Agent</w:t>
      </w:r>
      <w:r>
        <w:rPr>
          <w:rFonts w:ascii="Arial" w:eastAsia="Microsoft YaHei"/>
        </w:rPr>
        <w:t xml:space="preserve">。</w:t>
      </w:r>
    </w:p>
    <w:p>
      <w:pPr>
        <w:pStyle w:val="Heading2"/>
      </w:pPr>
      <w:r>
        <w:rPr>
          <w:rFonts w:ascii="Arial" w:eastAsia="Microsoft YaHei"/>
        </w:rPr>
        <w:t xml:space="preserve">主推方案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信创路线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非信创路线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服务器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华鲲振宇鲲鹏服务器（2U 起）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塔式工作站（Threadripper 或 Xeon）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加速卡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昇腾 910C 单卡（128GB HBM，2025 Q1 发布）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2× NVIDIA RTX5880 Ada 48GB（合计 96GB，通过 NVLink Bridge 或张量并行运行）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Qwen3.6-35B-A3B（Apache 2.0 开源，MoE 架构，激活 3B/总参 35B）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+ vllm-ascend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Agent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TDForge（同盾自研桌面 Agent，原生兼容策略配置 Skill）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 个 tiance-* 策略配置 Skill（含元数据采集、字段、函数、规则、指标、策略等 8 层）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部署形态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完全内网离线部署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同左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显存与性能说明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Qwen3.6-35B-A3B 虽然每次推理仅激活 3B 参数，但 MoE 权重须</w:t>
      </w:r>
      <w:r>
        <w:rPr>
          <w:rFonts w:ascii="Arial" w:eastAsia="Microsoft YaHei"/>
          <w:b/>
          <w:bCs/>
        </w:rPr>
        <w:t xml:space="preserve">全量加载</w:t>
      </w:r>
      <w:r>
        <w:rPr>
          <w:rFonts w:ascii="Arial" w:eastAsia="Microsoft YaHei"/>
        </w:rPr>
        <w:t xml:space="preserve">：权重理论值 35B × 2 bytes（FP16）≈ 70GB，加 embedding、激活、KV Cache（32K 上下文，单会话约 6-10GB）与 vLLM 引擎开销，单实例实际显存占用约 80-95GB。因此单卡 128GB HBM 的 910C 或 2× RTX5880 Ada（96GB，需张量并行且 KV Cache 受限）为门槛配置。</w:t>
      </w:r>
    </w:p>
    <w:p>
      <w:pPr>
        <w:pStyle w:val="Heading2"/>
      </w:pPr>
      <w:r>
        <w:rPr>
          <w:rFonts w:ascii="Arial" w:eastAsia="Microsoft YaHei"/>
        </w:rPr>
        <w:t xml:space="preserve">按需求切换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换成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单次推理需更强的复杂推理能力（长链路 Groovy 生成、多步编排失败率高）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模型换 Qwen3.5-397B-A17B（MoE 397B/17B），硬件需信创 C/D 级别（8× 910C 或多机张量并行）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并发数不够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同一模型加卡加副本 + 提升批处理</w:t>
            </w:r>
            <w:r>
              <w:rPr>
                <w:rFonts w:ascii="Arial" w:eastAsia="Microsoft YaHei"/>
              </w:rPr>
              <w:t xml:space="preserve">，不换模型（大模型只会更耗算力、并发反而下降）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未来需要模型微调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硬件升级至 Atlas 950 SuperPod 或多机 NPU 模组服务器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兼容矩阵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信创版本要求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x86 版本要求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openEuler 22.03 LTS SP3 及以上 或 麒麟 V10 SP3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Ubuntu 22.04 LTS 及以上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驱动栈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CANN 8.0 及以上 + Ascend Driver 25.x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NVIDIA Driver 550+ / CUDA 12.4+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 · vllm-ascend 0.7+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vLLM 0.7+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具体版本以采购当期 vllm-ascend/Qwen 官方 support matrix 为准，PoC 阶段实测确认。</w:t>
      </w:r>
    </w:p>
    <w:p>
      <w:pPr>
        <w:pStyle w:val="Heading2"/>
      </w:pPr>
      <w:r>
        <w:rPr>
          <w:rFonts w:ascii="Arial" w:eastAsia="Microsoft YaHei"/>
        </w:rPr>
        <w:t xml:space="preserve">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首选卡 Ascend 910C（128GB HBM）性能远超上一代 Atlas 300I Duo；若客户渠道暂时拿不到 910C，可用 Atlas 300I Duo 96GB 单卡跑 PoC，但生产建议直接上 910C 或更新款。具体服务器型号请客户找华鲲振宇、长虹佳华等鲲鹏 OEM 渠道，非信创 x86 方案可找亘数或同类工作站厂商。</w:t>
      </w:r>
    </w:p>
    <w:p>
      <w:pPr>
        <w:pStyle w:val="Heading2"/>
      </w:pPr>
      <w:r>
        <w:rPr>
          <w:rFonts w:ascii="Arial" w:eastAsia="Microsoft YaHei"/>
        </w:rPr>
        <w:t xml:space="preserve">参考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huggingface.co/Qwen/Qwen3.6-35B-A3B · huggingface.co/Qwen/Qwen3.5-397B-A17B · github.com/vllm-project/vllm-ascend · e.huawei.com/cn/products/computing/ascend。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2026-08-06T07:31:48.389Z</dcterms:created>
  <dcterms:modified xsi:type="dcterms:W3CDTF">2026-08-06T07:31:48.390Z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