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rPr>
          <w:rFonts w:ascii="Arial" w:eastAsia="Microsoft YaHei"/>
        </w:rPr>
        <w:t xml:space="preserve">第三案 交底书 V8 交接说明（给代理机构，非交底书正文）</w:t>
      </w:r>
    </w:p>
    <w:p>
      <w:pPr>
        <w:spacing w:after="120" w:line="360" w:lineRule="auto"/>
        <w:ind w:firstLine="480"/>
      </w:pPr>
      <w:r>
        <w:rPr>
          <w:rFonts w:ascii="Arial" w:eastAsia="Microsoft YaHei"/>
        </w:rPr>
        <w:t xml:space="preserve">发明名称（V8）：一种面向混合环境迁移的跨控制面配置引用校验与污染识别方法及系统</w:t>
      </w:r>
    </w:p>
    <w:p>
      <w:pPr>
        <w:spacing w:after="120" w:line="360" w:lineRule="auto"/>
        <w:ind w:firstLine="480"/>
      </w:pPr>
      <w:r>
        <w:rPr>
          <w:rFonts w:ascii="Arial" w:eastAsia="Microsoft YaHei"/>
        </w:rPr>
        <w:t xml:space="preserve">本说明从技术交底书正文中移出，专供专利代理机构在正式撰写与检索阶段参考。交底书正文（V8）保持为纯技术方案，不含以下流程性与边界性备注。</w:t>
      </w:r>
    </w:p>
    <w:p>
      <w:pPr>
        <w:pStyle w:val="Heading3"/>
      </w:pPr>
      <w:r>
        <w:rPr>
          <w:rFonts w:ascii="Arial" w:eastAsia="Microsoft YaHei"/>
        </w:rPr>
        <w:t xml:space="preserve">一、撰写边界（防止与 TD260040 重复授权）</w:t>
      </w:r>
    </w:p>
    <w:p>
      <w:pPr>
        <w:spacing w:after="120" w:line="360" w:lineRule="auto"/>
        <w:ind w:firstLine="480"/>
      </w:pPr>
      <w:r>
        <w:rPr>
          <w:rFonts w:ascii="Arial" w:eastAsia="Microsoft YaHei"/>
        </w:rPr>
        <w:t xml:space="preserve">本案以"跨控制面配置引用图、污染识别、迁移复检及其受控处置"为核心发明构思，不主张 AI Agent 能力资产的受控分发、非持久化加载、交互式认证、多协议传输或通用故障决策树；上述相关内容由 TD260040（第一案）对应方案覆盖。权利要求正式撰写时应据此划界，避免与第一案的六个保护点重复授权或产生单一性瑕疵。</w:t>
      </w:r>
    </w:p>
    <w:p>
      <w:pPr>
        <w:pStyle w:val="Heading3"/>
      </w:pPr>
      <w:r>
        <w:rPr>
          <w:rFonts w:ascii="Arial" w:eastAsia="Microsoft YaHei"/>
        </w:rPr>
        <w:t xml:space="preserve">二、与 TD260040 权利要求书的书面对照（建议随案提交）</w:t>
      </w:r>
    </w:p>
    <w:p>
      <w:pPr>
        <w:spacing w:after="120" w:line="360" w:lineRule="auto"/>
        <w:ind w:firstLine="480"/>
      </w:pPr>
      <w:r>
        <w:rPr>
          <w:rFonts w:ascii="Arial" w:eastAsia="Microsoft YaHei"/>
        </w:rPr>
        <w:t xml:space="preserve">本案与第一案在"断点续扫、部署门禁、局部回滚"三处存在概念相邻的特征，建议由代理机构整理一份两案权利要求逐条对照表交审查沟通使用，重点说明：本案的断点续扫限定为"配置项粒度、以 </w:t>
      </w:r>
      <w:r>
        <w:rPr>
          <w:rFonts w:ascii="Consolas" w:cs="Consolas" w:eastAsia="Consolas" w:hAnsi="Consolas"/>
        </w:rPr>
        <w:t xml:space="preserve">input_hash</w:t>
      </w:r>
      <w:r>
        <w:rPr>
          <w:rFonts w:ascii="Arial" w:eastAsia="Microsoft YaHei"/>
        </w:rPr>
        <w:t xml:space="preserve">/</w:t>
      </w:r>
      <w:r>
        <w:rPr>
          <w:rFonts w:ascii="Consolas" w:cs="Consolas" w:eastAsia="Consolas" w:hAnsi="Consolas"/>
        </w:rPr>
        <w:t xml:space="preserve">output_hash</w:t>
      </w:r>
      <w:r>
        <w:rPr>
          <w:rFonts w:ascii="Arial" w:eastAsia="Microsoft YaHei"/>
        </w:rPr>
        <w:t xml:space="preserve"> 判定是否重复处理"，服务于跨控制面配置迁移；本案的门禁判据限定为"BLOCK 状态引用边、阻断级配置漂移冲突、复检残留集合非空"，服务于配置引用一致性；本案的局部回滚限定为"沿参与污染传播的引用边反向可达并与本次变更集求交、uses 共享边不扩张"，与 TD260040 的交互认证／多协议降级／故障决策树类特征分属不同技术手段，不交叉主张。</w:t>
      </w:r>
    </w:p>
    <w:p>
      <w:pPr>
        <w:pStyle w:val="Heading3"/>
      </w:pPr>
      <w:r>
        <w:rPr>
          <w:rFonts w:ascii="Arial" w:eastAsia="Microsoft YaHei"/>
        </w:rPr>
        <w:t xml:space="preserve">三、关于原型执行证据（已按 26 条 3 款口径调整）</w:t>
      </w:r>
    </w:p>
    <w:p>
      <w:pPr>
        <w:spacing w:after="120" w:line="360" w:lineRule="auto"/>
        <w:ind w:firstLine="480"/>
      </w:pPr>
      <w:r>
        <w:rPr>
          <w:rFonts w:ascii="Arial" w:eastAsia="Microsoft YaHei"/>
        </w:rPr>
        <w:t xml:space="preserve">正文 9.2 已由"原型重放实施例"改为"规则演算实施例"，明确其为对给定输入的确定性规则推演，而非真实运行记录；据此删除原稿"提交申请前需补连续执行日志"的硬性要求。专利法第 26 条第 3 款要求的是"本领域技术人员能够实现"，不以真实执行日志为法定要件，本案已就采集、实体规范化、四态判定、类型化转换、全量复检、断点续扫及局部回滚给出可复现的规则与字段级说明。</w:t>
      </w:r>
    </w:p>
    <w:p>
      <w:pPr>
        <w:spacing w:after="120" w:line="360" w:lineRule="auto"/>
        <w:ind w:firstLine="480"/>
      </w:pPr>
      <w:r>
        <w:rPr>
          <w:rFonts w:ascii="Arial" w:eastAsia="Microsoft YaHei"/>
        </w:rPr>
        <w:t xml:space="preserve">作为加强项（非法定必补）：如后续能在测试环境跑通一次"采集 → 检测 → 阻断 → 转换 → 复检 → 放行"的连续执行日志，以及约 295 项配置中断后按配置项级续跑的日志，可进一步提升说服力，届时补充即可。正文 9.1 为已发生的真实迁移过程，与 9.2 的规则推演严格分列，二者不混淆、不冒充。</w:t>
      </w:r>
    </w:p>
    <w:p>
      <w:pPr>
        <w:pStyle w:val="Heading3"/>
      </w:pPr>
      <w:r>
        <w:rPr>
          <w:rFonts w:ascii="Arial" w:eastAsia="Microsoft YaHei"/>
        </w:rPr>
        <w:t xml:space="preserve">四、现有技术文献核验</w:t>
      </w:r>
    </w:p>
    <w:p>
      <w:pPr>
        <w:spacing w:after="120" w:line="360" w:lineRule="auto"/>
        <w:ind w:firstLine="480"/>
      </w:pPr>
      <w:r>
        <w:rPr>
          <w:rFonts w:ascii="Arial" w:eastAsia="Microsoft YaHei"/>
        </w:rPr>
        <w:t xml:space="preserve">正文第 1 节所列 CN111984373A、CN113703915A/B、CN116185991A、CN115587188A/B 四篇经公开专利数据库初步核验均存在，其编号与权利要求的相关性及创造性组合启示以代理机构正式检索结论为准，本稿仅按技术类别描述差异，不作为新颖性或创造性的最终结论。</w:t>
      </w:r>
    </w:p>
    <w:p>
      <w:pPr>
        <w:pStyle w:val="Heading3"/>
      </w:pPr>
      <w:r>
        <w:rPr>
          <w:rFonts w:ascii="Arial" w:eastAsia="Microsoft YaHei"/>
        </w:rPr>
        <w:t xml:space="preserve">五、V8 相对 V7 的主要修订（供核对）</w:t>
      </w:r>
    </w:p>
    <w:p>
      <w:pPr>
        <w:pStyle w:val="ListParagraph"/>
        <w:numPr>
          <w:ilvl w:val="0"/>
          <w:numId w:val="2"/>
        </w:numPr>
      </w:pPr>
      <w:r>
        <w:rPr>
          <w:rFonts w:ascii="Arial" w:eastAsia="Microsoft YaHei"/>
        </w:rPr>
        <w:t xml:space="preserve">修复四态判定逻辑缺口：将"允许"判据补全为"目标环境正确且无告警条件，或非目标环境／具共享资格资源命中适用于该引用类型、操作类型与用途且有效、未临近失效的白名单"；同步收紧"污染边"定义，明确 shared/global 仅表示具备共享资格、不当然排除污染。</w:t>
      </w:r>
    </w:p>
    <w:p>
      <w:pPr>
        <w:pStyle w:val="ListParagraph"/>
        <w:numPr>
          <w:ilvl w:val="0"/>
          <w:numId w:val="2"/>
        </w:numPr>
      </w:pPr>
      <w:r>
        <w:rPr>
          <w:rFonts w:ascii="Arial" w:eastAsia="Microsoft YaHei"/>
        </w:rPr>
        <w:t xml:space="preserve">修复权利要求引用关系：部署门禁之一（权 9，含"阻断级配置漂移冲突"）改挂于引入漂移分级的权 6（权 6 再引权 1，BLOCK 边特征仍继承）。</w:t>
      </w:r>
    </w:p>
    <w:p>
      <w:pPr>
        <w:pStyle w:val="ListParagraph"/>
        <w:numPr>
          <w:ilvl w:val="0"/>
          <w:numId w:val="2"/>
        </w:numPr>
      </w:pPr>
      <w:r>
        <w:rPr>
          <w:rFonts w:ascii="Arial" w:eastAsia="Microsoft YaHei"/>
        </w:rPr>
        <w:t xml:space="preserve">发明名称去除偏窄的"迁移前"限定，改为"面向混合环境迁移"；正文补充迁移前静态扫描／转换后全量复检／取得运行证据后语义比对三阶段说明，以体现保护范围不限于事前门禁。</w:t>
      </w:r>
    </w:p>
    <w:p>
      <w:pPr>
        <w:pStyle w:val="ListParagraph"/>
        <w:numPr>
          <w:ilvl w:val="0"/>
          <w:numId w:val="2"/>
        </w:numPr>
      </w:pPr>
      <w:r>
        <w:rPr>
          <w:rFonts w:ascii="Arial" w:eastAsia="Microsoft YaHei"/>
        </w:rPr>
        <w:t xml:space="preserve">独立方法权利要求（权 1）增加统一环境引用记录的数据结构限定；独立系统权利要求（权 12）写入四态固定优先级判定依据。</w:t>
      </w:r>
    </w:p>
    <w:p>
      <w:pPr>
        <w:pStyle w:val="ListParagraph"/>
        <w:numPr>
          <w:ilvl w:val="0"/>
          <w:numId w:val="2"/>
        </w:numPr>
      </w:pPr>
      <w:r>
        <w:rPr>
          <w:rFonts w:ascii="Arial" w:eastAsia="Microsoft YaHei"/>
        </w:rPr>
        <w:t xml:space="preserve">权利要求段间距收紧，缓解末条权利要求单独成页。附图沿用 V7 的 8 张黑白线稿。</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eastAsia="Microsoft YaHei"/>
      <w:b/>
      <w:bCs/>
      <w:color w:val="000000"/>
      <w:sz w:val="32"/>
      <w:szCs w:val="32"/>
    </w:rPr>
  </w:style>
  <w:style w:type="paragraph" w:styleId="Heading2">
    <w:name w:val="Heading 2"/>
    <w:basedOn w:val="Normal"/>
    <w:next w:val="Normal"/>
    <w:qFormat/>
    <w:pPr>
      <w:spacing w:after="180" w:before="180"/>
      <w:outlineLvl w:val="1"/>
    </w:pPr>
    <w:rPr>
      <w:rFonts w:ascii="Arial" w:eastAsia="Microsoft YaHei"/>
      <w:b/>
      <w:bCs/>
      <w:color w:val="000000"/>
      <w:sz w:val="28"/>
      <w:szCs w:val="28"/>
    </w:rPr>
  </w:style>
  <w:style w:type="paragraph" w:styleId="Heading3">
    <w:name w:val="Heading 3"/>
    <w:basedOn w:val="Normal"/>
    <w:next w:val="Normal"/>
    <w:qFormat/>
    <w:pPr>
      <w:spacing w:after="120" w:before="120"/>
      <w:outlineLvl w:val="2"/>
    </w:pPr>
    <w:rPr>
      <w:rFonts w:ascii="Arial" w:eastAsia="Microsoft YaHei"/>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2026-10-12T09:17:36.488Z</dcterms:created>
  <dcterms:modified xsi:type="dcterms:W3CDTF">2026-10-12T09:17:36.489Z</dcterms:modified>
</cp:coreProperties>
</file>

<file path=docProps/custom.xml><?xml version="1.0" encoding="utf-8"?>
<Properties xmlns="http://schemas.openxmlformats.org/officeDocument/2006/custom-properties" xmlns:vt="http://schemas.openxmlformats.org/officeDocument/2006/docPropsVTypes"/>
</file>