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E4309">
      <w:pPr>
        <w:spacing w:after="160"/>
      </w:pPr>
      <w:r>
        <w:rPr>
          <w:rFonts w:ascii="STSong" w:hAnsi="STSong" w:eastAsia="STSong"/>
          <w:b/>
          <w:color w:val="17365D"/>
          <w:sz w:val="58"/>
        </w:rPr>
        <w:t>策略测试</w:t>
      </w:r>
      <w:r>
        <w:rPr>
          <w:rFonts w:ascii="STSong" w:hAnsi="STSong" w:eastAsia="STSong"/>
          <w:b/>
          <w:color w:val="17365D"/>
          <w:sz w:val="58"/>
        </w:rPr>
        <w:br w:type="textWrapping"/>
      </w:r>
      <w:r>
        <w:rPr>
          <w:rFonts w:ascii="STSong" w:hAnsi="STSong" w:eastAsia="STSong"/>
          <w:b/>
          <w:color w:val="17365D"/>
          <w:sz w:val="58"/>
        </w:rPr>
        <w:t>能力概览</w:t>
      </w:r>
    </w:p>
    <w:p w14:paraId="721ED3A1">
      <w:pPr>
        <w:spacing w:after="360"/>
      </w:pPr>
      <w:r>
        <w:rPr>
          <w:rFonts w:ascii="STSong" w:hAnsi="STSong" w:eastAsia="STSong"/>
          <w:color w:val="667085"/>
          <w:sz w:val="27"/>
        </w:rPr>
        <w:t>从数据准备到决策结果验证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3D9D8EED">
        <w:trPr>
          <w:tblHeader/>
        </w:trPr>
        <w:tc>
          <w:tcPr>
            <w:tcW w:w="18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8A7A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文档版本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B853E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资料属性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E2B3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更新时间</w:t>
            </w:r>
          </w:p>
        </w:tc>
      </w:tr>
      <w:tr w14:paraId="10C01B67">
        <w:tc>
          <w:tcPr>
            <w:tcW w:w="18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V3.2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73D14">
            <w:pPr>
              <w:spacing w:before="0" w:after="0" w:line="269" w:lineRule="auto"/>
              <w:jc w:val="left"/>
            </w:pPr>
            <w:r>
              <w:rPr>
                <w:rFonts w:hint="eastAsia"/>
                <w:color w:val="202124"/>
                <w:sz w:val="19"/>
                <w:lang w:val="en-US" w:eastAsia="zh-CN"/>
              </w:rPr>
              <w:t>业务</w:t>
            </w:r>
            <w:r>
              <w:rPr>
                <w:rFonts w:ascii="STSong" w:hAnsi="STSong" w:eastAsia="STSong"/>
                <w:color w:val="202124"/>
                <w:sz w:val="19"/>
              </w:rPr>
              <w:t>交流版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2026年9月9日</w:t>
            </w:r>
          </w:p>
        </w:tc>
      </w:tr>
    </w:tbl>
    <w:p w14:paraId="0FFAC6D2">
      <w:pPr>
        <w:spacing w:after="40"/>
      </w:pPr>
    </w:p>
    <w:p w14:paraId="0B1A0067">
      <w:pPr>
        <w:pStyle w:val="3"/>
      </w:pPr>
      <w:r>
        <w:t>一、当前测试能力概览</w:t>
      </w:r>
    </w:p>
    <w:p w14:paraId="26749F6C">
      <w:r>
        <w:t>目前，天策策略测试能力已覆盖从用例设计、平台执行、证据采集到报告审计与闭环编排的完整链路，形成“测完可追溯”的治理闭环。</w:t>
      </w:r>
    </w:p>
    <w:p w14:paraId="58D6AD05">
      <w:pPr>
        <w:pBdr>
          <w:left w:val="single" w:color="2E74B5" w:sz="20" w:space="8"/>
        </w:pBdr>
        <w:shd w:val="clear" w:fill="EAF2F8"/>
        <w:spacing w:before="120" w:after="200" w:line="276" w:lineRule="auto"/>
        <w:ind w:left="202" w:right="115"/>
      </w:pPr>
      <w:r>
        <w:t>完整链路  平台版本核对（policyCode/policyVersion/bizType，快照≤10分钟）→ 用例设计与覆盖门禁 → Fixture 隔离准备 → 逐笔执行与证据采集 → 五态复核与根因分析 → 报告质量审计 → 完成门禁 → 最小重跑（caseKey 精确定位）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ACC3025">
        <w:trPr>
          <w:tblHeader/>
        </w:trPr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933D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阶段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2D91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测试关注点</w:t>
            </w:r>
          </w:p>
        </w:tc>
      </w:tr>
      <w:tr w14:paraId="1FBA9FD6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F519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数据准备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78E2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测试字段是否完整，历史数据和外部数据是否正确进入平台</w:t>
            </w:r>
          </w:p>
        </w:tc>
      </w:tr>
      <w:tr w14:paraId="7FCD86AD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B012F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计算加工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47A62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ETL、指标和函数是否得到符合业务预期的结果</w:t>
            </w:r>
          </w:p>
        </w:tc>
      </w:tr>
      <w:tr w14:paraId="0A8FA869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CEF1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风险判断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424E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规则、规则集</w:t>
            </w:r>
            <w:bookmarkStart w:id="0" w:name="_GoBack"/>
            <w:bookmarkEnd w:id="0"/>
            <w:r>
              <w:rPr>
                <w:rFonts w:ascii="STSong" w:hAnsi="STSong" w:eastAsia="STSong"/>
                <w:color w:val="202124"/>
                <w:sz w:val="18"/>
              </w:rPr>
              <w:t>是否按配置执行</w:t>
            </w:r>
          </w:p>
        </w:tc>
      </w:tr>
      <w:tr w14:paraId="0112C8C3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47E0A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流程编排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5BBBA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不同客户和业务场景是否走到正确决策分支</w:t>
            </w:r>
          </w:p>
        </w:tc>
      </w:tr>
      <w:tr w14:paraId="7857F581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B09CA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结果交付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7359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最终结果、命中原因和测试证据是否完整</w:t>
            </w:r>
          </w:p>
        </w:tc>
      </w:tr>
    </w:tbl>
    <w:p w14:paraId="0C755679">
      <w:pPr>
        <w:spacing w:after="40"/>
      </w:pPr>
    </w:p>
    <w:p w14:paraId="1CBC556A">
      <w:r>
        <w:br w:type="page"/>
      </w:r>
    </w:p>
    <w:p w14:paraId="4CADA1A8">
      <w:pPr>
        <w:pStyle w:val="3"/>
      </w:pPr>
      <w:r>
        <w:rPr>
          <w:rFonts w:ascii="STSong" w:hAnsi="STSong" w:eastAsia="STSong"/>
          <w:b/>
          <w:color w:val="2E74B5"/>
          <w:sz w:val="32"/>
        </w:rPr>
        <w:t>二  按照日常业务工作理解各项测试能力</w:t>
      </w:r>
    </w:p>
    <w:p w14:paraId="43003470">
      <w:pPr>
        <w:spacing w:after="160"/>
      </w:pPr>
      <w:r>
        <w:rPr>
          <w:rFonts w:ascii="STSong" w:hAnsi="STSong" w:eastAsia="STSong"/>
          <w:color w:val="667085"/>
        </w:rPr>
        <w:t>以下内容按业务人员日常配置和验收工作的顺序进行说明。</w:t>
      </w:r>
    </w:p>
    <w:p w14:paraId="5BDFED48">
      <w:pPr>
        <w:pStyle w:val="4"/>
      </w:pPr>
      <w:r>
        <w:t>1. 字段：验证业务数据能否被平台正确使用</w:t>
      </w:r>
    </w:p>
    <w:p w14:paraId="11C69F3E">
      <w:r>
        <w:rPr>
          <w:rFonts w:ascii="STSong" w:hAnsi="STSong" w:eastAsia="STSong"/>
          <w:color w:val="202124"/>
        </w:rPr>
        <w:t>字段是规则、指标和函数使用的基础数据，例如年龄、申请金额、客户等级、企业信息和交易明细。</w:t>
      </w:r>
    </w:p>
    <w:p w14:paraId="490BBB4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验证普通字段的正常值、空值、非法值和边界值。</w:t>
      </w:r>
    </w:p>
    <w:p w14:paraId="24811ED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验证枚举字段是否只接受约定状态，例如客户等级、风险等级和申请状态。</w:t>
      </w:r>
    </w:p>
    <w:p w14:paraId="08259D4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验证对象字段和循环对象字段中的明细是否完整，例如多笔交易或多位联系人。</w:t>
      </w:r>
    </w:p>
    <w:p w14:paraId="3351B56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验证动态字段的计算结果，例如收入负债比、年龄和期限。</w:t>
      </w:r>
    </w:p>
    <w:p w14:paraId="355EEED1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输入收入和负债后，验证负债率计算正确，并覆盖收入为空、收入为零和刚好达到阈值等情况。</w:t>
      </w:r>
    </w:p>
    <w:p w14:paraId="67F01B36">
      <w:pPr>
        <w:pStyle w:val="4"/>
      </w:pPr>
      <w:r>
        <w:t>2. 外部数据：验证第三方接口或数据库查询是否正确</w:t>
      </w:r>
    </w:p>
    <w:p w14:paraId="30C71870">
      <w:r>
        <w:rPr>
          <w:rFonts w:ascii="STSong" w:hAnsi="STSong" w:eastAsia="STSong"/>
          <w:color w:val="202124"/>
        </w:rPr>
        <w:t>外部数据用于查询工商、司法、征信、合作方或内部数据库信息。测试重点是确认查询条件、返回内容和下游使用结果。</w:t>
      </w:r>
    </w:p>
    <w:p w14:paraId="6FF19DB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验证请求参数是否从业务字段正确映射。</w:t>
      </w:r>
    </w:p>
    <w:p w14:paraId="276655A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验证返回码、返回字段、空结果、单条结果和多条结果。</w:t>
      </w:r>
    </w:p>
    <w:p w14:paraId="7DEB803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验证分页、缓存、字段提取和结果转换是否符合预期。</w:t>
      </w:r>
    </w:p>
    <w:p w14:paraId="0184C1A8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验证外部数据进入函数、规则和最终策略后产生的业务影响。</w:t>
      </w:r>
    </w:p>
    <w:p w14:paraId="4753536F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根据统一社会信用代码查询企业信息，验证企业状态、注册资本和法人姓名能够被后续准入规则正确使用。</w:t>
      </w:r>
    </w:p>
    <w:p w14:paraId="52DE4AC9">
      <w:pPr>
        <w:pBdr>
          <w:left w:val="single" w:color="8A6512" w:sz="20" w:space="8"/>
        </w:pBdr>
        <w:shd w:val="clear" w:fill="F7F4EA"/>
        <w:spacing w:before="120" w:after="200" w:line="276" w:lineRule="auto"/>
        <w:ind w:left="202" w:right="115"/>
      </w:pPr>
      <w:r>
        <w:t>当前边界  默认 no-mock 模式：不再生成三方超时/错误码/字段类型错误用例；不可控三方候选进入 excludedScenarios 并计入覆盖缺口，禁止通过过滤候选提高覆盖率。真实接口的超时、网络故障和错误码，需要专用模拟或隔离环境。</w:t>
      </w:r>
    </w:p>
    <w:p w14:paraId="060C0431">
      <w:r>
        <w:br w:type="page"/>
      </w:r>
    </w:p>
    <w:p w14:paraId="28E69DC8">
      <w:pPr>
        <w:pStyle w:val="4"/>
      </w:pPr>
      <w:r>
        <w:t>3. 数据处理：验证外部结果能否整理成规则可直接使用的数据</w:t>
      </w:r>
    </w:p>
    <w:p w14:paraId="5D2913D8">
      <w:r>
        <w:rPr>
          <w:rFonts w:ascii="STSong" w:hAnsi="STSong" w:eastAsia="STSong"/>
          <w:color w:val="202124"/>
        </w:rPr>
        <w:t>外部返回结果往往需要清洗、转换、合并或分页累计。测试会比较原始返回、加工结果和规则实际使用值。</w:t>
      </w:r>
    </w:p>
    <w:p w14:paraId="6969BDA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验证请求发送前的数据转换和字段补充。</w:t>
      </w:r>
    </w:p>
    <w:p w14:paraId="1DEC623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验证接口返回后的字段提取、类型转换和状态映射。</w:t>
      </w:r>
    </w:p>
    <w:p w14:paraId="4B9A2347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验证多页数据累计、提前结束和多条明细合并。</w:t>
      </w:r>
    </w:p>
    <w:p w14:paraId="438B2711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验证金额、日期、状态和列表字段的清洗结果。</w:t>
      </w:r>
    </w:p>
    <w:p w14:paraId="32718481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查询多笔司法案件后，过滤已结案记录并汇总未结案案件金额，再验证规则使用的金额与人工计算一致。</w:t>
      </w:r>
    </w:p>
    <w:p w14:paraId="4B1578F4">
      <w:pPr>
        <w:pStyle w:val="4"/>
      </w:pPr>
      <w:r>
        <w:t>4. 函数：验证可重复使用的计算逻辑</w:t>
      </w:r>
    </w:p>
    <w:p w14:paraId="6C478BDB">
      <w:r>
        <w:rPr>
          <w:rFonts w:ascii="STSong" w:hAnsi="STSong" w:eastAsia="STSong"/>
          <w:color w:val="202124"/>
        </w:rPr>
        <w:t>函数适合处理普通规则难以直接表达的计算，例如年龄、比率、汇总、对象取值和日期间隔。</w:t>
      </w:r>
    </w:p>
    <w:p w14:paraId="3C3A062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验证函数节点是否实际执行，输入字段是否正确。</w:t>
      </w:r>
    </w:p>
    <w:p w14:paraId="0625E4F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验证输出值、允许误差、空值和非法值处理。</w:t>
      </w:r>
    </w:p>
    <w:p w14:paraId="484D2E3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验证多笔数据汇总、实时与离线数据合并、对象和列表取值。</w:t>
      </w:r>
    </w:p>
    <w:p>
      <w:r>
        <w:t>多行场景约束  仅当模板明确声明函数入参为数组/列表/集合，或同一查询键返回多行记录时才生成多行场景；SUM/汇总/合计/分组不能单独证明函数支持多行输入。</w:t>
      </w:r>
    </w:p>
    <w:p w14:paraId="1B53155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测试预期依据业务要求独立形成，不从已经生成的函数代码反推。</w:t>
      </w:r>
    </w:p>
    <w:p w14:paraId="7415EE83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验证收入负债比、企业多笔交易金额合计、身份证年龄和距到期日天数。</w:t>
      </w:r>
    </w:p>
    <w:p w14:paraId="6A803E31">
      <w:pPr>
        <w:pBdr>
          <w:left w:val="single" w:color="207A4B" w:sz="20" w:space="8"/>
        </w:pBdr>
        <w:shd w:val="clear" w:fill="EDF7F1"/>
        <w:spacing w:before="120" w:after="200" w:line="276" w:lineRule="auto"/>
        <w:ind w:left="202" w:right="115"/>
      </w:pPr>
      <w:r>
        <w:rPr>
          <w:rFonts w:ascii="STSong" w:hAnsi="STSong" w:eastAsia="STSong"/>
          <w:b/>
          <w:color w:val="207A4B"/>
          <w:sz w:val="21"/>
        </w:rPr>
        <w:t xml:space="preserve">判断原则  </w:t>
      </w:r>
      <w:r>
        <w:rPr>
          <w:rFonts w:ascii="STSong" w:hAnsi="STSong" w:eastAsia="STSong"/>
          <w:color w:val="202124"/>
          <w:sz w:val="21"/>
        </w:rPr>
        <w:t>不能只看最终规则是否命中。函数输出值必须与业务预期单独比较，避免代码和测试同时出错却仍被判定通过。</w:t>
      </w:r>
    </w:p>
    <w:p w14:paraId="50ACD154">
      <w:r>
        <w:br w:type="page"/>
      </w:r>
    </w:p>
    <w:p w14:paraId="65BE9FDD">
      <w:pPr>
        <w:pStyle w:val="4"/>
      </w:pPr>
      <w:r>
        <w:t>5. 实时指标：验证一段时间内发生了什么</w:t>
      </w:r>
    </w:p>
    <w:p w14:paraId="38C4D536">
      <w:pPr>
        <w:rPr>
          <w:rFonts w:hint="eastAsia" w:eastAsia="STSong"/>
          <w:lang w:eastAsia="zh-CN"/>
        </w:rPr>
      </w:pPr>
      <w:r>
        <w:rPr>
          <w:rFonts w:ascii="STSong" w:hAnsi="STSong" w:eastAsia="STSong"/>
          <w:color w:val="202124"/>
        </w:rPr>
        <w:t>实时指标用于统计客户、设备、账户或企业在指定时间范围内的行为。当前覆盖十类指标模板</w:t>
      </w:r>
      <w:r>
        <w:rPr>
          <w:rFonts w:hint="eastAsia"/>
          <w:color w:val="202124"/>
          <w:lang w:eastAsia="zh-CN"/>
        </w:rPr>
        <w:t>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900"/>
        <w:gridCol w:w="2760"/>
      </w:tblGrid>
      <w:tr w14:paraId="2D9A6EC0">
        <w:trPr>
          <w:tblHeader/>
        </w:trPr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2AC1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指标模板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DA2CE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业务用途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84B63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业务示例</w:t>
            </w:r>
          </w:p>
        </w:tc>
      </w:tr>
      <w:tr w14:paraId="2701EEC3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D8F02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次数 COUNT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A530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统计发生次数或不同天数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09E8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近30天申请次数</w:t>
            </w:r>
          </w:p>
        </w:tc>
      </w:tr>
      <w:tr w14:paraId="402B52BB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3106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金额/统计 STATISTICS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CD2B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求和、平均、最大、最小、标准差、方差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DFB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近90天最大交易金额</w:t>
            </w:r>
          </w:p>
        </w:tc>
      </w:tr>
      <w:tr w14:paraId="06EF5799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BBED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关联 SET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B535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统计不同对象的去重数量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BC06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同一设备关联客户数</w:t>
            </w:r>
          </w:p>
        </w:tc>
      </w:tr>
      <w:tr w14:paraId="2C41AFBB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0FD03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占比 RATIO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3D0AD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计算满足条件的部分占全部的比例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0A832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夜间交易金额占比</w:t>
            </w:r>
          </w:p>
        </w:tc>
      </w:tr>
      <w:tr w14:paraId="6D70F729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349E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公式 FORMULA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DCB8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组合多个指标或字段进行计算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A14E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风险项加权得分</w:t>
            </w:r>
          </w:p>
        </w:tc>
      </w:tr>
      <w:tr w14:paraId="0846E946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B12E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时间差 TIME_GAP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975F4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计算相邻事件或距上次事件的间隔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F7BC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两次申请最短间隔</w:t>
            </w:r>
          </w:p>
        </w:tc>
      </w:tr>
      <w:tr w14:paraId="41B12EEA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D219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连续 CONSECUTIVE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E465D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统计连续满足条件的次数或时长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61555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连续逾期次数</w:t>
            </w:r>
          </w:p>
        </w:tc>
      </w:tr>
      <w:tr w14:paraId="6451753E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5281B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趋势 TREND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E62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识别数值持续上升、下降或波动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EF043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申请金额持续上升</w:t>
            </w:r>
          </w:p>
        </w:tc>
      </w:tr>
      <w:tr w14:paraId="6B1CD812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D0A4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历史取值 HISTORY_VALUE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5F319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取得最近或最早一笔记录的原始值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CA4C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最近一次逾期金额</w:t>
            </w:r>
          </w:p>
        </w:tc>
      </w:tr>
      <w:tr w14:paraId="0384CC0A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C707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移动 MOVEMENT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56C56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计算位置变化距离或速度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9A4A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短时间异地登录</w:t>
            </w:r>
          </w:p>
        </w:tc>
      </w:tr>
    </w:tbl>
    <w:p w14:paraId="148B551E">
      <w:pPr>
        <w:spacing w:after="40"/>
      </w:pPr>
    </w:p>
    <w:p w14:paraId="49A441F2">
      <w:pPr>
        <w:numPr>
          <w:ilvl w:val="0"/>
          <w:numId w:val="7"/>
        </w:numPr>
      </w:pPr>
      <w:r>
        <w:t>验证统计对象、时间范围、计算字段、筛选条件。</w:t>
      </w:r>
    </w:p>
    <w:p w14:paraId="727447B0">
      <w:pPr>
        <w:numPr>
          <w:ilvl w:val="0"/>
          <w:numId w:val="7"/>
        </w:numPr>
      </w:pPr>
      <w:r>
        <w:t>验证当前笔计入方式（含/不含/条件含）。</w:t>
      </w:r>
    </w:p>
    <w:p w14:paraId="477E42D9">
      <w:pPr>
        <w:numPr>
          <w:ilvl w:val="0"/>
          <w:numId w:val="7"/>
        </w:numPr>
      </w:pPr>
      <w:r>
        <w:t>验证历史贡献与最终算术分开列（历史值 + 当前笔 = 最终值）。</w:t>
      </w:r>
    </w:p>
    <w:p>
      <w:r>
        <w:t>验证事件过滤、窗口与排除窗口。</w:t>
      </w:r>
    </w:p>
    <w:p>
      <w:r>
        <w:t>验证去重维度、聚合键、名单/标签、动态阈值。</w:t>
      </w:r>
    </w:p>
    <w:p>
      <w:r>
        <w:t>验证时区与窗口边界。</w:t>
      </w:r>
    </w:p>
    <w:p>
      <w:r>
        <w:t>验证命中、不命中、精确阈值、阈值前后值。</w:t>
      </w:r>
    </w:p>
    <w:p>
      <w:r>
        <w:t>隔离全部指标分组维度，不能只换业务 ID。</w:t>
      </w:r>
    </w:p>
    <w:p>
      <w:r>
        <w:t>实现方式与边界  指标验证嵌在策略执行链路中（通过目标规则命中反推指标值），不覆盖独立 .zb 回归、指标计算 API 直测、性能/并发/TPS。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metric_polic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带指标的策略测试执行链路（指标值三段式验证）</w:t>
      </w:r>
    </w:p>
    <w:p w14:paraId="1024CDE8">
      <w:r>
        <w:br w:type="page"/>
      </w:r>
    </w:p>
    <w:p w14:paraId="5E78452F">
      <w:pPr>
        <w:pStyle w:val="4"/>
      </w:pPr>
      <w:r>
        <w:t>6. 规则和规则集：验证审批条件是否按预期执行</w:t>
      </w:r>
    </w:p>
    <w:p w14:paraId="4E114D98">
      <w:r>
        <w:rPr>
          <w:rFonts w:ascii="STSong" w:hAnsi="STSong" w:eastAsia="STSong"/>
          <w:color w:val="202124"/>
        </w:rPr>
        <w:t>规则表达单个判断，规则集将多条规则按顺序、权重或命中方式组合。测试重点是目标规则，而不是是否命中了任意规则。</w:t>
      </w:r>
    </w:p>
    <w:p w14:paraId="4F2B6BC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验证普通条件、多条件组合、名单判断和字段计算比较。</w:t>
      </w:r>
    </w:p>
    <w:p w14:paraId="7921B39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验证条件分支、终止后续判断、顺序命中、最差结果和权重计分。</w:t>
      </w:r>
    </w:p>
    <w:p w14:paraId="6A71997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验证正案例命中目标规则，反案例不命中目标规则。</w:t>
      </w:r>
    </w:p>
    <w:p w14:paraId="4BA5DBC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验证伴随规则和明确禁止命中的规则是否符合预期。</w:t>
      </w:r>
    </w:p>
    <w:p>
      <w:r>
        <w:t>三方节点证据使用 fieldValues / absentFields 精确断言，Excel “三方数据”列已改名为“预期执行证据”。</w:t>
      </w:r>
    </w:p>
    <w:p>
      <w:r>
        <w:t>覆盖率按规则集+规则编码统计，不跨规则集合并；applicableTags 与 notApplicableTags 分开报告，不适用场景不计为缺失。</w:t>
      </w:r>
    </w:p>
    <w:p w14:paraId="432E4FC5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年龄小于18岁拒绝；命中黑名单且申请金额超过10万元时进入高风险。</w:t>
      </w:r>
      <w:r>
        <w:br w:type="page"/>
      </w:r>
    </w:p>
    <w:p w14:paraId="53357B1A">
      <w:pPr>
        <w:pStyle w:val="4"/>
      </w:pPr>
      <w:r>
        <w:rPr>
          <w:rFonts w:hint="eastAsia"/>
          <w:lang w:val="en-US" w:eastAsia="zh-CN"/>
        </w:rPr>
        <w:t>7</w:t>
      </w:r>
      <w:r>
        <w:t>. 决策流：验证整条业务决策路线</w:t>
      </w:r>
    </w:p>
    <w:p w14:paraId="1C0F42EF">
      <w:r>
        <w:rPr>
          <w:rFonts w:ascii="STSong" w:hAnsi="STSong" w:eastAsia="STSong"/>
          <w:color w:val="202124"/>
        </w:rPr>
        <w:t>决策流将字段、外部数据、指标、函数和规则集串成完整流程。测试会确认执行顺序、业务分支和数据传递。</w:t>
      </w:r>
    </w:p>
    <w:p w14:paraId="0C1E2368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验证固定顺序流程和包含条件分支的复杂流程。</w:t>
      </w:r>
    </w:p>
    <w:p w14:paraId="560967DE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验证函数、规则集、外部数据和子流程是否被正确调用。</w:t>
      </w:r>
    </w:p>
    <w:p w14:paraId="29F670B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验证循环处理多条明细时，每条数据是否正确执行。</w:t>
      </w:r>
    </w:p>
    <w:p w14:paraId="6C559221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验证流程断点、错误回环、缺少输入输出和无权限组件。</w:t>
      </w:r>
    </w:p>
    <w:p>
      <w:r>
        <w:t>集中度策略专用语义场景  行政区全称/简称兼容、特殊区域 OR 分支、多行聚合、聚合函数小数精度、仅实时/仅离线数据；判定适用的场景必须使用真实 MySQL Fixture。</w:t>
      </w:r>
    </w:p>
    <w:p w14:paraId="02143243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先查询工商与司法信息，再计算近30天申请次数和负债率，执行准入规则集，最后进入通过、拒绝或人工审核分支。</w:t>
      </w:r>
    </w:p>
    <w:p w14:paraId="39106B85">
      <w:pPr>
        <w:pStyle w:val="4"/>
      </w:pPr>
      <w:r>
        <w:rPr>
          <w:rFonts w:hint="eastAsia"/>
          <w:lang w:val="en-US" w:eastAsia="zh-CN"/>
        </w:rPr>
        <w:t>8</w:t>
      </w:r>
      <w:r>
        <w:t>. 接口服务：验证业务系统如何调用决策</w:t>
      </w:r>
    </w:p>
    <w:p w14:paraId="706BBD51">
      <w:r>
        <w:rPr>
          <w:rFonts w:ascii="STSong" w:hAnsi="STSong" w:eastAsia="STSong"/>
          <w:color w:val="202124"/>
        </w:rPr>
        <w:t>接口服务测试用于确认业务系统传入的数据能否正确映射到天策，并得到完整、可解释的返回结果。</w:t>
      </w:r>
    </w:p>
    <w:p w14:paraId="10CB61A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验证服务输入参数与天策字段的对应关系。</w:t>
      </w:r>
    </w:p>
    <w:p w14:paraId="16F0F33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验证必填参数、固定值、空值处理和不同事件接口。</w:t>
      </w:r>
    </w:p>
    <w:p w14:paraId="694163E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验证输出结果、风险等级和命中原因。</w:t>
      </w:r>
    </w:p>
    <w:p w14:paraId="4967320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验证接口成功不等于业务测试通过，仍需比较目标策略结果。</w:t>
      </w:r>
    </w:p>
    <w:p w14:paraId="5AD561AC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业务系统传入客户编号、申请金额和渠道编号，天策返回通过/拒绝、风险等级和命中原因。</w:t>
      </w:r>
    </w:p>
    <w:p w14:paraId="3820E8ED">
      <w:r>
        <w:br w:type="page"/>
      </w:r>
    </w:p>
    <w:p>
      <w:pPr>
        <w:pStyle w:val="3"/>
      </w:pPr>
      <w:r>
        <w:t>三、测试执行 skill 与治理闭环</w:t>
      </w:r>
    </w:p>
    <w:p>
      <w:r>
        <w:t>天策策略测试由 4 个测试执行 skill 构成，遵循同一份治理合同，产出物通过稳定 caseKey 串联。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Skill 名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产出物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在测试链路中的角色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tiance-metric-testcase-generator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testcases.json/xlsx + design-manifest.json + coverage-plan.json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用例设计与覆盖门禁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tiance-metric-policy-test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executionManifest + Fixture + 15 列 Excel 报告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平台执行与证据采集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tiance-metric-report-checker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报告审计（4 维度）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tiance-metric-agent-loop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convergence.json + rerun-plan.json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治理闭环编排（8 阶段）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4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component_fami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天策测试工作流（执行 → 治理闭环）</w:t>
      </w:r>
    </w:p>
    <w:p>
      <w:r>
        <w:t>治理闭环由 tiance-metric-agent-loop 编排，8 阶段串行 + 反馈回环：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责任 skill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输出产物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硬门禁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范围与备份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备份目录 + coverage-plan.json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原 Excel 与运行归档带时间戳备份，新结果写新 run 目录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设计/覆盖门禁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testcase-generator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design-manifest.json + design-review.json + testcases.governed.json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每条规则 1 正 1 反为最低基线；边界案例显式标正反极性；设计待确认不提交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平台/执行门禁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platform_snapshot + precheck_result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policyCode/policyVersion/bizType/发布状态核对，快照 ≤10 分钟；名称缺失阻断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Fixture 准备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fixtureManifest + 新 fixtureRunId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首轮人工确认库连接/隔离键/清理范围；禁止复用上一轮隔离键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逐笔执行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executionManifest + segments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每 10 条分段；401 停；--max-retry 0；--design-manifest 必传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五态复核与证据分析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governed-results.json + analysis.json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只使用通过/失败/执行阻塞/编排阻塞/无效用例；未提交计划内用例不能从统计消失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报告质量审计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 维度（判定一致性/数据完整性/语义重复/实际结果质量）；安全违约非空即停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完成门禁与最小重跑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convergence.json + rerun-plan.json + cleanupResultPath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validate-rerun 通过；caseKey 精确定位；未清理不得 completed</w:t>
            </w:r>
          </w:p>
        </w:tc>
      </w:tr>
    </w:tbl>
    <w:p w14:paraId="2ECEA24F">
      <w:pPr>
        <w:pStyle w:val="3"/>
      </w:pPr>
      <w:r>
        <w:t>四、当前已经形成的测试闭环</w:t>
      </w:r>
    </w:p>
    <w:p w14:paraId="62F6BDB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明确目标渠道、机构、业务场景和预期结果。</w:t>
      </w:r>
    </w:p>
    <w:p w14:paraId="70C3F70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准备普通字段、动态字段和历史测试数据。</w:t>
      </w:r>
    </w:p>
    <w:p w14:paraId="7A5C64E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准备外部数据，并验证返回结果转换。</w:t>
      </w:r>
    </w:p>
    <w:p w14:paraId="3B1A025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验证函数、基础指标模板及项目已适配指标。</w:t>
      </w:r>
    </w:p>
    <w:p w14:paraId="51A3C0B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验证规则和规则集。</w:t>
      </w:r>
    </w:p>
    <w:p w14:paraId="215ECEE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验证决策流分支、子策略和最终主策略结果。</w:t>
      </w:r>
    </w:p>
    <w:p w14:paraId="3CD5D86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验证业务系统调用接口的输入和输出。</w:t>
      </w:r>
    </w:p>
    <w:p w14:paraId="51E8782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保留请求、响应、计算结果和命中证据。</w:t>
      </w:r>
    </w:p>
    <w:p w14:paraId="29470ED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生成报告，分析失败原因并进行最小范围重跑。</w:t>
      </w:r>
    </w:p>
    <w:p>
      <w:r>
        <w:t>上述业务视角九步在技术层对应§三“治理闭环 8 阶段”表，两者一一映射。</w:t>
      </w:r>
    </w:p>
    <w:p w14:paraId="7FD4BF5E">
      <w:pPr>
        <w:pStyle w:val="3"/>
      </w:pPr>
      <w:r>
        <w:t>五、正确理解的边界</w:t>
      </w:r>
    </w:p>
    <w:p w14:paraId="0FC22C9E">
      <w:r>
        <w:rPr>
          <w:rFonts w:ascii="STSong" w:hAnsi="STSong" w:eastAsia="STSong"/>
          <w:color w:val="202124"/>
        </w:rPr>
        <w:t>测试用例生成和平台执行完成，不等于策略已经可以直接上线。正式使用前仍需：</w:t>
      </w:r>
    </w:p>
    <w:p w14:paraId="42E9420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在目标平台使用真实或受控数据执行。</w:t>
      </w:r>
    </w:p>
    <w:p w14:paraId="2372F53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核对实际指标、函数和最终结果。</w:t>
      </w:r>
    </w:p>
    <w:p w14:paraId="4FCC88E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完成业务负责人和平台负责人的验收。</w:t>
      </w:r>
    </w:p>
    <w:p w14:paraId="4AC939A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发布后再次回查接口和策略结果。</w:t>
      </w:r>
    </w:p>
    <w:p w14:paraId="6267FC95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真实第三方异常需要模拟环境；模型效果和性能容量需要独立测试方案。</w:t>
      </w:r>
    </w:p>
    <w:p>
      <w:r>
        <w:t>明确不覆盖清单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不覆盖项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3120"/>
          </w:tcPr>
          <w:p>
            <w:r>
              <w:t>独立 .zb 指标回归</w:t>
            </w:r>
          </w:p>
        </w:tc>
        <w:tc>
          <w:tcPr>
            <w:tcW w:type="dxa" w:w="3120"/>
          </w:tcPr>
          <w:p>
            <w:r>
              <w:t>无独立指标执行入口，须绑策略</w:t>
            </w:r>
          </w:p>
        </w:tc>
        <w:tc>
          <w:tcPr>
            <w:tcW w:type="dxa" w:w="3120"/>
          </w:tcPr>
          <w:p>
            <w:r>
              <w:t>新建 tiance-metric-standalone-test skill</w:t>
            </w:r>
          </w:p>
        </w:tc>
      </w:tr>
      <w:tr>
        <w:tc>
          <w:tcPr>
            <w:tcW w:type="dxa" w:w="3120"/>
          </w:tcPr>
          <w:p>
            <w:r>
              <w:t>指标计算 API 直测</w:t>
            </w:r>
          </w:p>
        </w:tc>
        <w:tc>
          <w:tcPr>
            <w:tcW w:type="dxa" w:w="3120"/>
          </w:tcPr>
          <w:p>
            <w:r>
              <w:t>现有链路只走 /noah/policyTest</w:t>
            </w:r>
          </w:p>
        </w:tc>
        <w:tc>
          <w:tcPr>
            <w:tcW w:type="dxa" w:w="3120"/>
          </w:tcPr>
          <w:p>
            <w:r>
              <w:t>摸 salaxy/indexApi 契约后新建</w:t>
            </w:r>
          </w:p>
        </w:tc>
      </w:tr>
      <w:tr>
        <w:tc>
          <w:tcPr>
            <w:tcW w:type="dxa" w:w="3120"/>
          </w:tcPr>
          <w:p>
            <w:r>
              <w:t>指标性能/并发/TPS</w:t>
            </w:r>
          </w:p>
        </w:tc>
        <w:tc>
          <w:tcPr>
            <w:tcW w:type="dxa" w:w="3120"/>
          </w:tcPr>
          <w:p>
            <w:r>
              <w:t>不在功能测试范围</w:t>
            </w:r>
          </w:p>
        </w:tc>
        <w:tc>
          <w:tcPr>
            <w:tcW w:type="dxa" w:w="3120"/>
          </w:tcPr>
          <w:p>
            <w:r>
              <w:t>JMeter/K6 独立方案</w:t>
            </w:r>
          </w:p>
        </w:tc>
      </w:tr>
      <w:tr>
        <w:tc>
          <w:tcPr>
            <w:tcW w:type="dxa" w:w="3120"/>
          </w:tcPr>
          <w:p>
            <w:r>
              <w:t>模型效果评估</w:t>
            </w:r>
          </w:p>
        </w:tc>
        <w:tc>
          <w:tcPr>
            <w:tcW w:type="dxa" w:w="3120"/>
          </w:tcPr>
          <w:p>
            <w:r>
              <w:t>需 A/B 与样本回溯</w:t>
            </w:r>
          </w:p>
        </w:tc>
        <w:tc>
          <w:tcPr>
            <w:tcW w:type="dxa" w:w="3120"/>
          </w:tcPr>
          <w:p>
            <w:r>
              <w:t>独立建模评估流程</w:t>
            </w:r>
          </w:p>
        </w:tc>
      </w:tr>
      <w:tr>
        <w:tc>
          <w:tcPr>
            <w:tcW w:type="dxa" w:w="3120"/>
          </w:tcPr>
          <w:p>
            <w:r>
              <w:t>真实第三方异常（超时/网络故障/错误码）</w:t>
            </w:r>
          </w:p>
        </w:tc>
        <w:tc>
          <w:tcPr>
            <w:tcW w:type="dxa" w:w="3120"/>
          </w:tcPr>
          <w:p>
            <w:r>
              <w:t>默认 no-mock，不生成异常用例</w:t>
            </w:r>
          </w:p>
        </w:tc>
        <w:tc>
          <w:tcPr>
            <w:tcW w:type="dxa" w:w="3120"/>
          </w:tcPr>
          <w:p>
            <w:r>
              <w:t>专用模拟或隔离环境</w:t>
            </w:r>
          </w:p>
        </w:tc>
      </w:tr>
      <w:tr>
        <w:tc>
          <w:tcPr>
            <w:tcW w:type="dxa" w:w="3120"/>
          </w:tcPr>
          <w:p>
            <w:r>
              <w:t>生产策略/名单/路由修改、存量数据清理</w:t>
            </w:r>
          </w:p>
        </w:tc>
        <w:tc>
          <w:tcPr>
            <w:tcW w:type="dxa" w:w="3120"/>
          </w:tcPr>
          <w:p>
            <w:r>
              <w:t>不属于测试授权范围</w:t>
            </w:r>
          </w:p>
        </w:tc>
        <w:tc>
          <w:tcPr>
            <w:tcW w:type="dxa" w:w="3120"/>
          </w:tcPr>
          <w:p>
            <w:r>
              <w:t>走变更管理流程</w:t>
            </w:r>
          </w:p>
        </w:tc>
      </w:tr>
    </w:tbl>
    <w:p w14:paraId="01DBC6AD">
      <w:pPr>
        <w:pBdr>
          <w:left w:val="single" w:color="8A6512" w:sz="20" w:space="8"/>
        </w:pBdr>
        <w:shd w:val="clear" w:fill="F7F4EA"/>
        <w:spacing w:before="120" w:after="200" w:line="276" w:lineRule="auto"/>
        <w:ind w:left="202" w:right="115"/>
      </w:pPr>
      <w:r>
        <w:t>停止条件  如果渠道、机构、字段、外部服务、名单、指标样本或其他依赖尚未准备好，测试会明确列出缺口并停止，不会使用猜测数据继续执行。平台快照超 10 分钟阻断；Fixture run ID 每轮新建，禁止复用上一轮隔离键。</w:t>
      </w:r>
    </w:p>
    <w:p w14:paraId="6F2E7B4F">
      <w:r>
        <w:br w:type="page"/>
      </w:r>
    </w:p>
    <w:p w14:paraId="193CFDEE">
      <w:pPr>
        <w:pStyle w:val="3"/>
      </w:pPr>
      <w:r>
        <w:t>六、汇报结论</w:t>
      </w:r>
    </w:p>
    <w:p w14:paraId="0738BD6C">
      <w:pPr>
        <w:spacing w:after="200"/>
      </w:pPr>
      <w:r>
        <w:rPr>
          <w:rFonts w:ascii="STSong" w:hAnsi="STSong" w:eastAsia="STSong"/>
          <w:color w:val="202124"/>
          <w:sz w:val="24"/>
        </w:rPr>
        <w:t>当前策略测试能力已经不只是验证接口是否成功，而是可以围绕真实业务场景，逐层验证数据准备、计算加工、风险判断、决策路线和最终业务结果。</w:t>
      </w:r>
    </w:p>
    <w:p w14:paraId="7F2DBD54">
      <w:pPr>
        <w:pBdr>
          <w:left w:val="single" w:color="207A4B" w:sz="20" w:space="8"/>
        </w:pBdr>
        <w:shd w:val="clear" w:fill="EDF7F1"/>
        <w:spacing w:before="120" w:after="200" w:line="276" w:lineRule="auto"/>
        <w:ind w:left="202" w:right="115"/>
      </w:pPr>
      <w:r>
        <w:t>业务化概括  业务人员说明在哪个渠道、针对什么对象、需要哪些数据、按照什么条件判断、最终期望返回什么结果，系统可以协助形成测试场景、准备测试数据、执行平台验证，并输出一套可解释、可追溯的测试结论。每条用例保留稳定 caseKey、设计清单、执行证据与治理状态；最小重跑基于 caseKey 精确修改，不按关键词或同规则第一条用例定位。</w:t>
      </w:r>
    </w:p>
    <w:p w14:paraId="198FF969">
      <w:pPr>
        <w:pStyle w:val="4"/>
      </w:pPr>
      <w:r>
        <w:t>测试结果的业务含义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000"/>
        <w:gridCol w:w="2760"/>
      </w:tblGrid>
      <w:tr w14:paraId="55D75B1C">
        <w:trPr>
          <w:tblHeader/>
        </w:trPr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BF9D8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结果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FBFA7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业务含义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90C6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下一步</w:t>
            </w:r>
          </w:p>
        </w:tc>
      </w:tr>
      <w:tr w14:paraId="7E4194D3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目标指标、规则和策略结果均有证据且符合预期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纳入通过统计</w:t>
            </w:r>
          </w:p>
        </w:tc>
      </w:tr>
      <w:tr w14:paraId="43D2873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失败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实际结果与业务预期存在已证实差异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根因分析（数据/配置/平台/机制），产出 analysis.json</w:t>
            </w:r>
          </w:p>
        </w:tc>
      </w:tr>
      <w:tr w14:paraId="7A8F879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执行阻塞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环境/接口/数据库/平台故障或 401/超时导致本条未完成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修复环境后按 caseKey 最小重跑</w:t>
            </w:r>
          </w:p>
        </w:tc>
      </w:tr>
      <w:tr w14:paraId="110855D1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编排阻塞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设计门禁/平台门禁/Fixture 门禁未通过，用例未提交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补齐前置条件后进入 B/C/D 阶段</w:t>
            </w:r>
          </w:p>
        </w:tc>
      </w:tr>
      <w:tr w14:paraId="64FC697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无效用例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设计歧义、caseKey 冲突、覆盖重复或场景不适用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记入 excludedScenarios 并计入覆盖缺口</w:t>
            </w:r>
          </w:p>
        </w:tc>
      </w:tr>
    </w:tbl>
    <w:p w14:paraId="7BCB8312">
      <w:pPr>
        <w:spacing w:after="40"/>
      </w:pPr>
    </w:p>
    <w:p w14:paraId="36982ABE">
      <w:pPr>
        <w:pBdr>
          <w:left w:val="single" w:color="2E74B5" w:sz="20" w:space="8"/>
        </w:pBdr>
        <w:shd w:val="clear" w:fill="EAF2F8"/>
        <w:spacing w:before="120" w:after="200" w:line="276" w:lineRule="auto"/>
        <w:ind w:left="202" w:right="115"/>
      </w:pPr>
      <w:r>
        <w:t>最终判断原则  只有目标指标、目标规则和最终策略结果均有证据并符合预期，测试才判定通过。（治理合同五态定义详见§六结果分类表）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A5BCE">
    <w:pPr>
      <w:pStyle w:val="24"/>
      <w:jc w:val="right"/>
    </w:pPr>
    <w:r>
      <w:rPr>
        <w:rFonts w:ascii="STSong" w:hAnsi="STSong" w:eastAsia="STSong"/>
        <w:color w:val="667085"/>
        <w:sz w:val="18"/>
      </w:rPr>
      <w:t xml:space="preserve">第 </w:t>
    </w:r>
    <w:r>
      <w:rPr>
        <w:rFonts w:ascii="STSong" w:hAnsi="STSong" w:eastAsia="STSong"/>
        <w:color w:val="667085"/>
        <w:sz w:val="18"/>
      </w:rPr>
      <w:fldChar w:fldCharType="begin"/>
    </w:r>
    <w:r>
      <w:rPr>
        <w:rFonts w:ascii="STSong" w:hAnsi="STSong" w:eastAsia="STSong"/>
        <w:color w:val="667085"/>
        <w:sz w:val="18"/>
      </w:rPr>
      <w:instrText xml:space="preserve"> PAGE </w:instrText>
    </w:r>
    <w:r>
      <w:rPr>
        <w:rFonts w:ascii="STSong" w:hAnsi="STSong" w:eastAsia="STSong"/>
        <w:color w:val="667085"/>
        <w:sz w:val="18"/>
      </w:rPr>
      <w:fldChar w:fldCharType="end"/>
    </w:r>
    <w:r>
      <w:rPr>
        <w:rFonts w:ascii="STSong" w:hAnsi="STSong" w:eastAsia="STSong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55976">
    <w:pPr>
      <w:pStyle w:val="25"/>
      <w:spacing w:after="0"/>
    </w:pPr>
    <w:r>
      <w:rPr>
        <w:rFonts w:ascii="STSong" w:hAnsi="STSong" w:eastAsia="STSong"/>
        <w:b/>
        <w:color w:val="667085"/>
        <w:sz w:val="18"/>
      </w:rPr>
      <w:t>策略测试组件覆盖能力</w:t>
    </w:r>
    <w:r>
      <w:rPr>
        <w:rFonts w:ascii="STSong" w:hAnsi="STSong" w:eastAsia="STSong"/>
        <w:color w:val="667085"/>
        <w:sz w:val="18"/>
      </w:rPr>
      <w:t xml:space="preserve">  |  技术能力说明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FA05E"/>
    <w:multiLevelType w:val="singleLevel"/>
    <w:tmpl w:val="95AFA05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29B88"/>
    <w:rsid w:val="7DBEF392"/>
    <w:rsid w:val="EEBF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STSong" w:hAnsi="STSong" w:eastAsia="STSong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项目团队</dc:creator>
  <dc:description>generated by python-docx</dc:description>
  <cp:keywords>策略测试, 字段, 数据源, ETL, 函数, 指标, 规则, 评分卡, 决策流</cp:keywords>
  <cp:lastModifiedBy>wty</cp:lastModifiedBy>
  <dcterms:modified xsi:type="dcterms:W3CDTF">2026-08-24T11:49:07Z</dcterms:modified>
  <dc:subject>按照当前能力概览结构整理的策略测试能力说明</dc:subject>
  <dc:title>策略测试能力概览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093A7ABE88CFDFC70CBF8B6A6900ABE1_43</vt:lpwstr>
  </property>
</Properties>
</file>