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摘要</w:t>
      </w:r>
    </w:p>
    <w:p>
      <w:pPr>
        <w:spacing w:after="120" w:line="360" w:lineRule="auto"/>
        <w:ind w:firstLine="480"/>
      </w:pPr>
      <w:r>
        <w:rPr>
          <w:rFonts w:ascii="Arial" w:cs="Arial" w:eastAsia="SimSun" w:hAnsi="Arial"/>
          <w:sz w:val="24"/>
          <w:szCs w:val="24"/>
        </w:rPr>
        <w:t xml:space="preserve">本发明公开了一种面向风控决策引擎的策略自动化测试方法及系统，属于软件测试与金融科技交叉技术领域。该方法包括：从多Sheet页策略部署配置文档中自动提取结构化策略模型并建立跨维度关联；通过统一的规则表达式模式匹配引擎对规则进行语义分析，自动推导覆盖规则级、函数级、决策流级和跨子策略综合场景的多维度测试用例集；将用例批量提交到决策引擎并支持断点续传；基于层级执行模型进行多层递进验证；通过多维度语义比对引擎消除输出格式差异并生成结构化测试报告。本发明将风控策略测试从人工方式转变为全链路自动化，显著提升测试效率和覆盖度。</w:t>
      </w: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中国专利申请 CN116028370A《一种基于模型驱动的业务规则测试方法及系统》提出了一种模型驱动的测试方案：通过可视化界面定义业务规则的输入输出和预期行为，由系统自动生成测试脚本并执行比对。该方案降低了测试人员的编程门槛，但其测试用例仍依赖人工定义预期行为，无法从规则表达式中自动推导边界值和条件拆解用例；验证维度为输入输出的端到端比对，不涉及决策引擎内部层级结构的逐层验证。</w:t>
      </w:r>
    </w:p>
    <w:p>
      <w:pPr>
        <w:spacing w:after="120" w:line="360" w:lineRule="auto"/>
        <w:ind w:firstLine="480"/>
      </w:pPr>
      <w:r>
        <w:rPr>
          <w:rFonts w:ascii="Arial" w:cs="Arial" w:eastAsia="SimSun" w:hAnsi="Arial"/>
          <w:sz w:val="24"/>
          <w:szCs w:val="24"/>
        </w:rPr>
        <w:t xml:space="preserve">在通用软件测试自动化领域，基于模型的测试（Model-Based Testing, MBT）技术通过构建被测系统的形式化模型自动生成测试路径和测试用例，在嵌入式系统和协议测试中已有广泛应用。然而，风控决策引擎的策略配置具有其独特性：规则表达式采用领域特定语法（如"字段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复合条件嵌套；策略执行结果呈层级嵌套结构（策略→子策略→规则集→规则→函数）；测试数据常依赖外部第三方数据源的模拟。这些特点使得通用的软件测试方法和传统MBT技术难以直接适用。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因此，需要一种专门面向风控决策引擎的策略自动化测试方法，能够从策略部署配置文档出发，自动完成测试用例生成、批量执行、多层验证和报告输出的全流程，显著提高策略测试的效率和覆盖度。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配置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步骤S1：多维策略配置文档解析（参见图1中S101）</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步骤S2：基于规则表达式语义分析的智能测试用例生成（参见图1中S102及图2）</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步骤S3：批量提交与执行（参见图1中S103）</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步骤S4：基于决策引擎层级执行模型的多层验证（参见图1中S104及图3）</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全组件日志API</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步骤S5：语义比对与测试报告生成（参见图1中S105及图4）</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部署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在上述项目中，人工方式平均每条规则仅覆盖1-2个边界场景，本发明对82条规则自动生成了570条规则级用例，平均每条规则约7条用例，覆盖正案例、反案例、精确边界值、AND条件拆解、OR分支独立覆盖等维度。模式引擎还自动识别并覆盖了人工容易遗漏的场景，包括严格运算符边界（如"&gt;"不含等于时自动补充恰好等于的不命中用例）、负数阈值、枚举内"或"防误判等，边界场景覆盖率从人工方式的约40%提升至95%以上。</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在自动验证不通过时精确定位问题所在层级。在上述项目的662条用例执行中，约12%的用例首次验证未通过，其中约70%可通过第一至第四层自动验证直接定位到具体规则或函数层级，无需人工排查；剩余约30%通过第五层全组件日志在5分钟内完成定位，相比传统单层验证方式下平均30分钟以上的人工排查时间，问题定位效率提升约6倍。</w:t>
      </w:r>
    </w:p>
    <w:p>
      <w:pPr>
        <w:spacing w:after="120" w:line="360" w:lineRule="auto"/>
        <w:ind w:firstLine="480"/>
      </w:pPr>
      <w:r>
        <w:rPr>
          <w:rFonts w:ascii="Arial" w:cs="Arial" w:eastAsia="SimSun" w:hAnsi="Arial"/>
          <w:sz w:val="24"/>
          <w:szCs w:val="24"/>
        </w:rPr>
        <w:t xml:space="preserve">（4）比对准确度提高。多维度语义比对引擎通过别名组、模糊别名、数值容差和直通匹配四种策略的组合，有效消除了因输出格式差异导致的误判。在上述项目中，人工字符串匹配方式的误判率约为15%-20%（主要来源于中英文标识不一致、同义词表述差异和浮点精度偏差），引入语义比对引擎后误判率降低至约1%，显著减少了人工复核工作量。</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在上述项目中，首个策略的完整配置（含比对规则定义）耗时约4小时，后续新增策略仅需补充策略特有的比对规则和路由字段，平均接入时间缩短至约30分钟，新策略接入效率提升约8倍。</w:t>
      </w:r>
    </w:p>
    <w:p>
      <w:pPr>
        <w:spacing w:after="120" w:line="360" w:lineRule="auto"/>
        <w:ind w:firstLine="480"/>
      </w:pPr>
      <w:r>
        <w:rPr>
          <w:rFonts w:ascii="Arial" w:cs="Arial" w:eastAsia="SimSun" w:hAnsi="Arial"/>
          <w:sz w:val="24"/>
          <w:szCs w:val="24"/>
        </w:rPr>
        <w:t xml:space="preserve">（6）多模块端到端覆盖。在规则级测试用例之外，自动生成函数级、决策流分支覆盖、策略预警等级覆盖和跨子策略综合场景用例，实现决策引擎各执行模块的全面覆盖。在上述项目中，多模块用例占比约14%（92/662），有效发现了单一规则测试无法覆盖的跨模块交互问题。</w:t>
      </w:r>
    </w:p>
    <w:p>
      <w:pPr>
        <w:pStyle w:val="Heading2"/>
        <w:spacing w:after="200" w:before="300"/>
      </w:pPr>
      <w:r>
        <w:rPr>
          <w:rFonts w:ascii="Arial" w:cs="Arial" w:eastAsia="Microsoft YaHei" w:hAnsi="Arial"/>
          <w:b/>
          <w:bCs/>
          <w:color w:val="000000"/>
          <w:sz w:val="30"/>
          <w:szCs w:val="30"/>
        </w:rPr>
        <w:t xml:space="preserve">四、附图说明</w:t>
      </w:r>
    </w:p>
    <w:p>
      <w:pPr>
        <w:spacing w:after="120" w:line="360" w:lineRule="auto"/>
        <w:ind w:firstLine="480"/>
      </w:pPr>
      <w:r>
        <w:rPr>
          <w:rFonts w:ascii="Arial" w:cs="Arial" w:eastAsia="SimSun" w:hAnsi="Arial"/>
          <w:sz w:val="24"/>
          <w:szCs w:val="24"/>
        </w:rPr>
        <w:t xml:space="preserve">图1为系统整体流程图，展示了从策略部署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的处理流程：依次通过别名组匹配（S401）、模糊别名匹配（S402）、数值容差匹配（S403）、直通匹配（S404）四种策略对预期结果与实际结果进行比对，任一策略匹配成功即判定为通过，全部不匹配则判定为未通过，最终将比对结果写入结构化测试报告（S405）。</w:t>
      </w:r>
    </w:p>
    <w:p>
      <w:pPr>
        <w:spacing w:after="60"/>
      </w:pPr>
    </w:p>
    <w:p>
      <w:pPr>
        <w:spacing w:after="120" w:line="360" w:lineRule="auto"/>
        <w:ind w:firstLine="480"/>
      </w:pPr>
      <w:r>
        <w:rPr>
          <w:rFonts w:ascii="Arial" w:cs="Arial" w:eastAsia="SimSun" w:hAnsi="Arial"/>
          <w:sz w:val="24"/>
          <w:szCs w:val="24"/>
        </w:rPr>
        <w:t xml:space="preserve">附图中主要标记说明如下：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c>
          <w:tcPr>
            <w:tcW w:type="dxa" w:w="1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标记</w:t>
            </w:r>
          </w:p>
        </w:tc>
        <w:tc>
          <w:tcPr>
            <w:tcW w:type="dxa" w:w="3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所属附图</w:t>
            </w:r>
          </w:p>
        </w:tc>
        <w:tc>
          <w:tcPr>
            <w:tcW w:type="dxa" w:w="43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S101</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S102</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S103</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S104</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图1</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语义比对与报告生成步骤</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S201~S205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图2</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模式引擎处理流程：表达式输入、归一化、模式匹配、参数构造、用例输出</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L1~L5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图3</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五层验证层级：整体决策、子策略、规则命中、函数输出、全组件日志</w:t>
            </w:r>
          </w:p>
        </w:tc>
      </w:tr>
      <w:tr>
        <w:tc>
          <w:tcPr>
            <w:tcW w:type="dxa" w:w="15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S401~S405</w:t>
            </w:r>
          </w:p>
        </w:tc>
        <w:tc>
          <w:tcPr>
            <w:tcW w:type="dxa" w:w="3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图4</w:t>
            </w:r>
          </w:p>
        </w:tc>
        <w:tc>
          <w:tcPr>
            <w:tcW w:type="dxa" w:w="43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比对引擎流程：别名组、模糊别名、数值容差、直通匹配、报告写入</w:t>
            </w:r>
          </w:p>
        </w:tc>
      </w:tr>
    </w:tbl>
    <w:p>
      <w:pPr>
        <w:spacing w:after="60"/>
      </w:pPr>
    </w:p>
    <w:p>
      <w:pPr>
        <w:pStyle w:val="Heading2"/>
        <w:spacing w:after="200" w:before="300"/>
      </w:pPr>
      <w:r>
        <w:rPr>
          <w:rFonts w:ascii="Arial" w:cs="Arial" w:eastAsia="Microsoft YaHei" w:hAnsi="Arial"/>
          <w:b/>
          <w:bCs/>
          <w:color w:val="000000"/>
          <w:sz w:val="30"/>
          <w:szCs w:val="30"/>
        </w:rPr>
        <w:t xml:space="preserve">五、具体实施方式</w:t>
      </w:r>
    </w:p>
    <w:p>
      <w:pPr>
        <w:pStyle w:val="Heading3"/>
        <w:spacing w:after="160" w:before="240"/>
      </w:pPr>
      <w:r>
        <w:rPr>
          <w:rFonts w:ascii="Arial" w:cs="Arial" w:eastAsia="Microsoft YaHei" w:hAnsi="Arial"/>
          <w:b/>
          <w:bCs/>
          <w:color w:val="000000"/>
          <w:sz w:val="26"/>
          <w:szCs w:val="26"/>
        </w:rPr>
        <w:t xml:space="preserve">5.1 系统整体架构</w:t>
      </w:r>
    </w:p>
    <w:p>
      <w:pPr>
        <w:spacing w:after="120" w:line="360" w:lineRule="auto"/>
        <w:ind w:firstLine="480"/>
      </w:pPr>
      <w:r>
        <w:rPr>
          <w:rFonts w:ascii="Arial" w:cs="Arial" w:eastAsia="SimSun" w:hAnsi="Arial"/>
          <w:sz w:val="24"/>
          <w:szCs w:val="24"/>
        </w:rPr>
        <w:t xml:space="preserve">本发明的实施系统包括以下模块（如图1所示）：</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200"/>
        <w:jc w:val="center"/>
      </w:pPr>
      <w:r>
        <w:drawing>
          <wp:inline distT="0" distB="0" distL="0" distR="0">
            <wp:extent cx="4191000" cy="4400550"/>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4191000" cy="4400550"/>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5.2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检测算法采用关键词匹配打分机制：预定义一组表头关键词集合，包括"规则编号"、"规则名称"、"字段标识"、"字段名称"、"接口名称"、"函数名称"、"策略名称"等约30个常见表头词汇。对Sheet页的前20行逐行扫描，将每行中每个单元格的文本值与关键词集合进行匹配（支持精确匹配和包含匹配两种模式），统计该行的关键词命中数量作为得分。取得分最高的行作为表头行，其下方的行作为数据行。若多行得分相同，取行号最小者。该机制能够适应不同格式的部署文档，无需预设固定模板，在实际测试中表头识别准确率超过98%。</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5.3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如图2所示，模式引擎的处理流程从规则表达式输入经归一化预处理、模式注册表匹配、测试参数自动构造到用例分类输出。</w:t>
      </w:r>
    </w:p>
    <w:p>
      <w:pPr>
        <w:spacing w:after="200" w:before="200"/>
        <w:jc w:val="center"/>
      </w:pPr>
      <w:r>
        <w:drawing>
          <wp:inline distT="0" distB="0" distL="0" distR="0">
            <wp:extent cx="4191000" cy="5372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4191000" cy="53721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5.4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5.5 步骤S4的具体实施方式</w:t>
      </w:r>
    </w:p>
    <w:p>
      <w:pPr>
        <w:spacing w:after="120" w:line="360" w:lineRule="auto"/>
        <w:ind w:firstLine="480"/>
      </w:pPr>
      <w:r>
        <w:rPr>
          <w:rFonts w:ascii="Arial" w:cs="Arial" w:eastAsia="SimSun" w:hAnsi="Arial"/>
          <w:sz w:val="24"/>
          <w:szCs w:val="24"/>
        </w:rPr>
        <w:t xml:space="preserve">多层验证的核心旨在解析决策引擎的层级执行模型。决策引擎在执行一条策略时，按照以下层级结构组织执行数据（如图3所示）：</w:t>
      </w:r>
    </w:p>
    <w:p>
      <w:pPr>
        <w:spacing w:after="200" w:before="200"/>
        <w:jc w:val="center"/>
      </w:pPr>
      <w:r>
        <w:drawing>
          <wp:inline distT="0" distB="0" distL="0" distR="0">
            <wp:extent cx="4191000" cy="51911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4191000" cy="5191125"/>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API，即决策引擎提供的全组件执行日志查询接口），包含完整的执行路径：三方数据调用请求与响应、ETL转换前后的字段值、分支决策的走向记录等。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5.6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语义比对引擎通过配置文件定义比对规则，支持以下四种比对策略的组合使用（如图4所示）：</w:t>
      </w:r>
    </w:p>
    <w:p>
      <w:pPr>
        <w:spacing w:after="200" w:before="200"/>
        <w:jc w:val="center"/>
      </w:pPr>
      <w:r>
        <w:drawing>
          <wp:inline distT="0" distB="0" distL="0" distR="0">
            <wp:extent cx="4191000" cy="466725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4191000" cy="466725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2"/>
        <w:spacing w:after="200" w:before="300"/>
      </w:pPr>
      <w:r>
        <w:rPr>
          <w:rFonts w:ascii="Arial" w:cs="Arial" w:eastAsia="Microsoft YaHei" w:hAnsi="Arial"/>
          <w:b/>
          <w:bCs/>
          <w:color w:val="000000"/>
          <w:sz w:val="30"/>
          <w:szCs w:val="30"/>
        </w:rPr>
        <w:t xml:space="preserve">六、关键创新点总结</w:t>
      </w:r>
    </w:p>
    <w:p>
      <w:pPr>
        <w:spacing w:after="120" w:line="360" w:lineRule="auto"/>
        <w:ind w:firstLine="480"/>
      </w:pPr>
      <w:r>
        <w:rPr>
          <w:rFonts w:ascii="Arial" w:cs="Arial" w:eastAsia="SimSun" w:hAnsi="Arial"/>
          <w:sz w:val="24"/>
          <w:szCs w:val="24"/>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20" w:line="360" w:lineRule="auto"/>
        <w:ind w:firstLine="480"/>
      </w:pPr>
      <w:r>
        <w:rPr>
          <w:rFonts w:ascii="Arial" w:cs="Arial" w:eastAsia="SimSun" w:hAnsi="Arial"/>
          <w:sz w:val="24"/>
          <w:szCs w:val="24"/>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（5）多维度语义比对引擎：通过别名组、模糊别名、数值容差、直通匹配四种策略的组合，解决决策引擎输出格式与人工预期表述之间的语义等价判定问题。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（6）策略配置自动发现机制：通过决策引擎API自动获取策略的版本信息和配置参数，实现新策略的快速接入，显著降低测试准备成本。</w:t>
      </w:r>
    </w:p>
    <w:p>
      <w:pPr>
        <w:spacing w:after="120" w:line="360" w:lineRule="auto"/>
        <w:ind w:firstLine="480"/>
      </w:pPr>
      <w:r>
        <w:rPr>
          <w:rFonts w:ascii="Arial" w:cs="Arial" w:eastAsia="SimSun" w:hAnsi="Arial"/>
          <w:sz w:val="24"/>
          <w:szCs w:val="24"/>
        </w:rPr>
        <w:t xml:space="preserve">（7）端到端全链路自动化：将上述创新点串联为完整的自动化流程，从策略部署配置文档输入到结构化测试报告输出，全程无需人工干预（仅需在会话过期时重新认证）。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七、权利要求书（草稿）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S1、策略配置文档解析步骤：读取包含多个数据页的策略部署配置文档，自动提取策略列表、规则集定义、规则表达式、函数定义、字段映射关系和外部数据接口信息，建立跨维度的关联关系并输出结构化策略模型；</w:t>
      </w:r>
    </w:p>
    <w:p>
      <w:pPr>
        <w:spacing w:after="120" w:line="360" w:lineRule="auto"/>
        <w:ind w:firstLine="480"/>
      </w:pPr>
      <w:r>
        <w:rPr>
          <w:rFonts w:ascii="Arial" w:cs="Arial" w:eastAsia="SimSun" w:hAnsi="Arial"/>
          <w:sz w:val="24"/>
          <w:szCs w:val="24"/>
        </w:rPr>
        <w:t xml:space="preserve">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w:t>
      </w:r>
    </w:p>
    <w:p>
      <w:pPr>
        <w:spacing w:after="120" w:line="360" w:lineRule="auto"/>
        <w:ind w:firstLine="480"/>
      </w:pPr>
      <w:r>
        <w:rPr>
          <w:rFonts w:ascii="Arial" w:cs="Arial" w:eastAsia="SimSun" w:hAnsi="Arial"/>
          <w:sz w:val="24"/>
          <w:szCs w:val="24"/>
        </w:rPr>
        <w:t xml:space="preserve">S3、批量提交步骤：将所述测试用例集通过决策引擎的测试接口进行批量提交，采集每条用例的执行响应；</w:t>
      </w:r>
    </w:p>
    <w:p>
      <w:pPr>
        <w:spacing w:after="120" w:line="360" w:lineRule="auto"/>
        <w:ind w:firstLine="480"/>
      </w:pPr>
      <w:r>
        <w:rPr>
          <w:rFonts w:ascii="Arial" w:cs="Arial" w:eastAsia="SimSun" w:hAnsi="Arial"/>
          <w:sz w:val="24"/>
          <w:szCs w:val="24"/>
        </w:rPr>
        <w:t xml:space="preserve">S4、多层验证步骤：根据决策引擎的层级执行模型，对每条用例的执行结果按策略层、子策略层、规则集层、规则层和函数层进行逐层递进验证，并通过全组件执行日志接口进行深度排查验证；</w:t>
      </w:r>
    </w:p>
    <w:p>
      <w:pPr>
        <w:spacing w:after="120" w:line="360" w:lineRule="auto"/>
        <w:ind w:firstLine="480"/>
      </w:pPr>
      <w:r>
        <w:rPr>
          <w:rFonts w:ascii="Arial" w:cs="Arial" w:eastAsia="SimSun" w:hAnsi="Arial"/>
          <w:sz w:val="24"/>
          <w:szCs w:val="24"/>
        </w:rPr>
        <w:t xml:space="preserve">S5、语义比对与报告步骤：通过多维度语义比对引擎对验证结果进行比对判定，并生成结构化的测试报告。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权利要求2（从属权利要求——多维文档解析）：</w:t>
      </w:r>
    </w:p>
    <w:p>
      <w:pPr>
        <w:spacing w:after="120" w:line="360" w:lineRule="auto"/>
        <w:ind w:firstLine="480"/>
      </w:pPr>
      <w:r>
        <w:rPr>
          <w:rFonts w:ascii="Arial" w:cs="Arial" w:eastAsia="SimSun" w:hAnsi="Arial"/>
          <w:sz w:val="24"/>
          <w:szCs w:val="24"/>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60"/>
      </w:pPr>
    </w:p>
    <w:p>
      <w:pPr>
        <w:spacing w:after="120" w:line="360" w:lineRule="auto"/>
        <w:ind w:firstLine="480"/>
      </w:pPr>
      <w:r>
        <w:rPr>
          <w:rFonts w:ascii="Arial" w:cs="Arial" w:eastAsia="SimSun" w:hAnsi="Arial"/>
          <w:sz w:val="24"/>
          <w:szCs w:val="24"/>
        </w:rPr>
        <w:t xml:space="preserve">权利要求3（从属权利要求——表头自动检测）：</w:t>
      </w:r>
    </w:p>
    <w:p>
      <w:pPr>
        <w:spacing w:after="120" w:line="360" w:lineRule="auto"/>
        <w:ind w:firstLine="480"/>
      </w:pPr>
      <w:r>
        <w:rPr>
          <w:rFonts w:ascii="Arial" w:cs="Arial" w:eastAsia="SimSun" w:hAnsi="Arial"/>
          <w:sz w:val="24"/>
          <w:szCs w:val="24"/>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60"/>
      </w:pPr>
    </w:p>
    <w:p>
      <w:pPr>
        <w:spacing w:after="120" w:line="360" w:lineRule="auto"/>
        <w:ind w:firstLine="480"/>
      </w:pPr>
      <w:r>
        <w:rPr>
          <w:rFonts w:ascii="Arial" w:cs="Arial" w:eastAsia="SimSun" w:hAnsi="Arial"/>
          <w:sz w:val="24"/>
          <w:szCs w:val="24"/>
        </w:rPr>
        <w:t xml:space="preserve">权利要求4（从属权利要求——模式匹配引擎）：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60"/>
      </w:pPr>
    </w:p>
    <w:p>
      <w:pPr>
        <w:spacing w:after="120" w:line="360" w:lineRule="auto"/>
        <w:ind w:firstLine="480"/>
      </w:pPr>
      <w:r>
        <w:rPr>
          <w:rFonts w:ascii="Arial" w:cs="Arial" w:eastAsia="SimSun" w:hAnsi="Arial"/>
          <w:sz w:val="24"/>
          <w:szCs w:val="24"/>
        </w:rPr>
        <w:t xml:space="preserve">权利要求5（从属权利要求——AND/OR条件拆解）：</w:t>
      </w:r>
    </w:p>
    <w:p>
      <w:pPr>
        <w:spacing w:after="120" w:line="360" w:lineRule="auto"/>
        <w:ind w:firstLine="480"/>
      </w:pPr>
      <w:r>
        <w:rPr>
          <w:rFonts w:ascii="Arial" w:cs="Arial" w:eastAsia="SimSun" w:hAnsi="Arial"/>
          <w:sz w:val="24"/>
          <w:szCs w:val="24"/>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60"/>
      </w:pPr>
    </w:p>
    <w:p>
      <w:pPr>
        <w:spacing w:after="120" w:line="360" w:lineRule="auto"/>
        <w:ind w:firstLine="480"/>
      </w:pPr>
      <w:r>
        <w:rPr>
          <w:rFonts w:ascii="Arial" w:cs="Arial" w:eastAsia="SimSun" w:hAnsi="Arial"/>
          <w:sz w:val="24"/>
          <w:szCs w:val="24"/>
        </w:rPr>
        <w:t xml:space="preserve">权利要求6（从属权利要求——Mock数据自动生成）：</w:t>
      </w:r>
    </w:p>
    <w:p>
      <w:pPr>
        <w:spacing w:after="120" w:line="360" w:lineRule="auto"/>
        <w:ind w:firstLine="480"/>
      </w:pPr>
      <w:r>
        <w:rPr>
          <w:rFonts w:ascii="Arial" w:cs="Arial" w:eastAsia="SimSun" w:hAnsi="Arial"/>
          <w:sz w:val="24"/>
          <w:szCs w:val="24"/>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60"/>
      </w:pPr>
    </w:p>
    <w:p>
      <w:pPr>
        <w:spacing w:after="120" w:line="360" w:lineRule="auto"/>
        <w:ind w:firstLine="480"/>
      </w:pPr>
      <w:r>
        <w:rPr>
          <w:rFonts w:ascii="Arial" w:cs="Arial" w:eastAsia="SimSun" w:hAnsi="Arial"/>
          <w:sz w:val="24"/>
          <w:szCs w:val="24"/>
        </w:rPr>
        <w:t xml:space="preserve">权利要求7（从属权利要求——多模块用例覆盖）：</w:t>
      </w:r>
    </w:p>
    <w:p>
      <w:pPr>
        <w:spacing w:after="120" w:line="360" w:lineRule="auto"/>
        <w:ind w:firstLine="480"/>
      </w:pPr>
      <w:r>
        <w:rPr>
          <w:rFonts w:ascii="Arial" w:cs="Arial" w:eastAsia="SimSun" w:hAnsi="Arial"/>
          <w:sz w:val="24"/>
          <w:szCs w:val="24"/>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60"/>
      </w:pPr>
    </w:p>
    <w:p>
      <w:pPr>
        <w:spacing w:after="120" w:line="360" w:lineRule="auto"/>
        <w:ind w:firstLine="480"/>
      </w:pPr>
      <w:r>
        <w:rPr>
          <w:rFonts w:ascii="Arial" w:cs="Arial" w:eastAsia="SimSun" w:hAnsi="Arial"/>
          <w:sz w:val="24"/>
          <w:szCs w:val="24"/>
        </w:rPr>
        <w:t xml:space="preserve">权利要求8（从属权利要求——批量提交与断点续传）：</w:t>
      </w:r>
    </w:p>
    <w:p>
      <w:pPr>
        <w:spacing w:after="120" w:line="360" w:lineRule="auto"/>
        <w:ind w:firstLine="480"/>
      </w:pPr>
      <w:r>
        <w:rPr>
          <w:rFonts w:ascii="Arial" w:cs="Arial" w:eastAsia="SimSun" w:hAnsi="Arial"/>
          <w:sz w:val="24"/>
          <w:szCs w:val="24"/>
        </w:rPr>
        <w:t xml:space="preserve">根据权利要求1所述的方法，其特征在于，步骤S3中提交前执行会话健康检查，提交过程中如遇会话过期或网络异常，记录已完成的用例偏移量，重新认证后从断点处继续提交。</w:t>
      </w:r>
    </w:p>
    <w:p>
      <w:pPr>
        <w:spacing w:after="60"/>
      </w:pPr>
    </w:p>
    <w:p>
      <w:pPr>
        <w:spacing w:after="120" w:line="360" w:lineRule="auto"/>
        <w:ind w:firstLine="480"/>
      </w:pPr>
      <w:r>
        <w:rPr>
          <w:rFonts w:ascii="Arial" w:cs="Arial" w:eastAsia="SimSun" w:hAnsi="Arial"/>
          <w:sz w:val="24"/>
          <w:szCs w:val="24"/>
        </w:rPr>
        <w:t xml:space="preserve">权利要求9（从属权利要求——多层验证策略）：</w:t>
      </w:r>
    </w:p>
    <w:p>
      <w:pPr>
        <w:spacing w:after="120" w:line="360" w:lineRule="auto"/>
        <w:ind w:firstLine="480"/>
      </w:pPr>
      <w:r>
        <w:rPr>
          <w:rFonts w:ascii="Arial" w:cs="Arial" w:eastAsia="SimSun" w:hAnsi="Arial"/>
          <w:sz w:val="24"/>
          <w:szCs w:val="24"/>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60"/>
      </w:pPr>
    </w:p>
    <w:p>
      <w:pPr>
        <w:spacing w:after="120" w:line="360" w:lineRule="auto"/>
        <w:ind w:firstLine="480"/>
      </w:pPr>
      <w:r>
        <w:rPr>
          <w:rFonts w:ascii="Arial" w:cs="Arial" w:eastAsia="SimSun" w:hAnsi="Arial"/>
          <w:sz w:val="24"/>
          <w:szCs w:val="24"/>
        </w:rPr>
        <w:t xml:space="preserve">权利要求10（从属权利要求——语义比对）：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60"/>
      </w:pPr>
    </w:p>
    <w:p>
      <w:pPr>
        <w:spacing w:after="120" w:line="360" w:lineRule="auto"/>
        <w:ind w:firstLine="480"/>
      </w:pPr>
      <w:r>
        <w:rPr>
          <w:rFonts w:ascii="Arial" w:cs="Arial" w:eastAsia="SimSun" w:hAnsi="Arial"/>
          <w:sz w:val="24"/>
          <w:szCs w:val="24"/>
        </w:rPr>
        <w:t xml:space="preserve">权利要求11（从属权利要求——增量报告）：</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根据权利要求1所述的方法，其特征在于，步骤S5中的测试报告采用增量更新模式，每条用例的验证结果独立写入报告文件对应行，不触发全量重建。</w:t>
      </w:r>
    </w:p>
    <w:p>
      <w:pPr>
        <w:spacing w:after="60"/>
      </w:pPr>
    </w:p>
    <w:p>
      <w:pPr>
        <w:spacing w:after="120" w:line="360" w:lineRule="auto"/>
        <w:ind w:firstLine="480"/>
      </w:pPr>
      <w:r>
        <w:rPr>
          <w:rFonts w:ascii="Arial" w:cs="Arial" w:eastAsia="SimSun" w:hAnsi="Arial"/>
          <w:sz w:val="24"/>
          <w:szCs w:val="24"/>
        </w:rPr>
        <w:t xml:space="preserve">权利要求12（从属权利要求——策略自动发现）：</w:t>
      </w:r>
    </w:p>
    <w:p>
      <w:pPr>
        <w:spacing w:after="120" w:line="360" w:lineRule="auto"/>
        <w:ind w:firstLine="480"/>
      </w:pPr>
      <w:r>
        <w:rPr>
          <w:rFonts w:ascii="Arial" w:cs="Arial" w:eastAsia="SimSun" w:hAnsi="Arial"/>
          <w:sz w:val="24"/>
          <w:szCs w:val="24"/>
        </w:rPr>
        <w:t xml:space="preserve">根据权利要求1所述的方法，其特征在于，还包括策略发现步骤：通过决策引擎的API自动获取策略的版本信息和配置参数，用于自动填充步骤S3中批量提交所需的策略标识和版本号。</w:t>
      </w:r>
    </w:p>
    <w:p>
      <w:pPr>
        <w:spacing w:after="60"/>
      </w:pPr>
    </w:p>
    <w:p>
      <w:pPr>
        <w:spacing w:after="120" w:line="360" w:lineRule="auto"/>
        <w:ind w:firstLine="480"/>
      </w:pPr>
      <w:r>
        <w:rPr>
          <w:rFonts w:ascii="Arial" w:cs="Arial" w:eastAsia="SimSun" w:hAnsi="Arial"/>
          <w:sz w:val="24"/>
          <w:szCs w:val="24"/>
        </w:rPr>
        <w:t xml:space="preserve">权利要求13（独立权利要求——系统）：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策略解析模块，用于从包含多个数据页的策略部署配置文档中提取结构化策略模型并建立跨维度的关联关系；</w:t>
      </w:r>
    </w:p>
    <w:p>
      <w:pPr>
        <w:spacing w:after="120" w:line="360" w:lineRule="auto"/>
        <w:ind w:firstLine="480"/>
      </w:pPr>
      <w:r>
        <w:rPr>
          <w:rFonts w:ascii="Arial" w:cs="Arial" w:eastAsia="SimSun" w:hAnsi="Arial"/>
          <w:sz w:val="24"/>
          <w:szCs w:val="24"/>
        </w:rPr>
        <w:t xml:space="preserve">用例生成模块，包含表达式模式匹配引擎，用于对规则表达式进行语义分析并自动推导测试用例集；</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多层验证模块，用于基于决策引擎的层级执行模型进行逐层递进验证；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比对报告模块，包含语义比对引擎和报告生成器，用于结果比对和结构化报告输出；</w:t>
      </w:r>
    </w:p>
    <w:p>
      <w:pPr>
        <w:spacing w:after="120" w:line="360" w:lineRule="auto"/>
        <w:ind w:firstLine="480"/>
      </w:pPr>
      <w:r>
        <w:rPr>
          <w:rFonts w:ascii="Arial" w:cs="Arial" w:eastAsia="SimSun" w:hAnsi="Arial"/>
          <w:sz w:val="24"/>
          <w:szCs w:val="24"/>
        </w:rPr>
        <w:t xml:space="preserve">策略发现模块，用于通过决策引擎API自动获取策略的基础配置信息。</w:t>
      </w:r>
    </w:p>
    <w:p>
      <w:pPr>
        <w:spacing w:after="60"/>
      </w:pPr>
    </w:p>
    <w:p>
      <w:pPr>
        <w:spacing w:after="120" w:line="360" w:lineRule="auto"/>
        <w:ind w:firstLine="480"/>
      </w:pPr>
      <w:r>
        <w:rPr>
          <w:rFonts w:ascii="Arial" w:cs="Arial" w:eastAsia="SimSun" w:hAnsi="Arial"/>
          <w:sz w:val="24"/>
          <w:szCs w:val="24"/>
        </w:rPr>
        <w:t xml:space="preserve">权利要求14（独立权利要求——电子设备）：</w:t>
      </w:r>
    </w:p>
    <w:p>
      <w:pPr>
        <w:spacing w:after="120" w:line="360" w:lineRule="auto"/>
        <w:ind w:firstLine="480"/>
      </w:pPr>
      <w:r>
        <w:rPr>
          <w:rFonts w:ascii="Arial" w:cs="Arial" w:eastAsia="SimSun" w:hAnsi="Arial"/>
          <w:sz w:val="24"/>
          <w:szCs w:val="24"/>
        </w:rPr>
        <w:t xml:space="preserve">一种电子设备，包括存储器和处理器，所述存储器上存储有计算机程序，其特征在于，所述处理器执行所述计算机程序时实现权利要求1至12中任一项所述的方法。</w:t>
      </w:r>
    </w:p>
    <w:p>
      <w:pPr>
        <w:spacing w:after="60"/>
      </w:pPr>
    </w:p>
    <w:p>
      <w:pPr>
        <w:spacing w:after="120" w:line="360" w:lineRule="auto"/>
        <w:ind w:firstLine="480"/>
      </w:pPr>
      <w:r>
        <w:rPr>
          <w:rFonts w:ascii="Arial" w:cs="Arial" w:eastAsia="SimSun" w:hAnsi="Arial"/>
          <w:sz w:val="24"/>
          <w:szCs w:val="24"/>
        </w:rPr>
        <w:t xml:space="preserve">权利要求15（独立权利要求——存储介质）：</w:t>
      </w:r>
    </w:p>
    <w:p>
      <w:pPr>
        <w:spacing w:after="120" w:line="360" w:lineRule="auto"/>
        <w:ind w:firstLine="480"/>
      </w:pPr>
      <w:r>
        <w:rPr>
          <w:rFonts w:ascii="Arial" w:cs="Arial" w:eastAsia="SimSun" w:hAnsi="Arial"/>
          <w:sz w:val="24"/>
          <w:szCs w:val="24"/>
        </w:rPr>
        <w:t xml:space="preserve">一种计算机可读存储介质，其上存储有计算机程序，其特征在于，所述计算机程序被处理器执行时实现权利要求1至12中任一项所述的方法。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xmlns:w14="http://schemas.microsoft.com/office/word/2010/wordml" xmlns:wp14="http://schemas.microsoft.com/office/word/2010/wordprocessingDrawing"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981d9225bb8549a2358febca59187e601a84238.png"/><Relationship Id="rId10" Type="http://schemas.openxmlformats.org/officeDocument/2006/relationships/image" Target="media/4f796f925d12dba5731dfe8f16f20d69e52ede13.png"/><Relationship Id="rId11" Type="http://schemas.openxmlformats.org/officeDocument/2006/relationships/image" Target="media/049ccbdb1dc40f82147095bc03e31c7f7e8a68f0.png"/><Relationship Id="rId12" Type="http://schemas.openxmlformats.org/officeDocument/2006/relationships/image" Target="media/d9041c0111c22d4bf90dc5c8452bcf8dad59dd8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2026-07-16T06:54:38.726Z</dcterms:created>
  <dcterms:modified xsi:type="dcterms:W3CDTF">2026-07-16T06:54:38.727Z</dcterms:modified>
</cp:coreProperties>
</file>

<file path=docProps/custom.xml><?xml version="1.0" encoding="utf-8"?>
<Properties xmlns="http://schemas.openxmlformats.org/officeDocument/2006/custom-properties" xmlns:vt="http://schemas.openxmlformats.org/officeDocument/2006/docPropsVTypes"/>
</file>