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</w:t>
      </w:r>
    </w:p>
    <w:p>
      <w:pPr>
        <w:pStyle w:val="Heading2"/>
      </w:pPr>
      <w:r>
        <w:rPr>
          <w:rFonts w:ascii="Arial" w:eastAsia="Microsoft YaHei"/>
        </w:rPr>
        <w:t xml:space="preserve">项目背景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天策（Tiance）决策中台是同盾科技的核心风控产品，其策略配置流程涵盖字段定义、函数开发、数据源接入、规则集编排、指标计算、策略部署等 8 个层级，传统人工配置周期长、易出错、依赖资深工程师经验。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策略自动化配置方案已通过 AI Agent + Skill 流水线实现了从元数据采集到策略部署的全链路自动化，但该方案依赖完善的 AI 基础设施支撑。当前客户侧 AI 模型基础建设为零，需要从零搭建一套完整的离线 AI 运行环境，使策略自动化配置能力在内网隔离环境下独立运行。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本方案针对完全内网隔离的部署场景，围绕策略配置这一核心目标，设计最小可行的 AI 基础建设方案。</w:t>
      </w:r>
    </w:p>
    <w:p>
      <w:pPr>
        <w:pStyle w:val="Heading2"/>
      </w:pPr>
      <w:r>
        <w:rPr>
          <w:rFonts w:ascii="Arial" w:eastAsia="Microsoft YaHei"/>
        </w:rPr>
        <w:t xml:space="preserve">现状分析</w:t>
      </w:r>
    </w:p>
    <w:p>
      <w:pPr>
        <w:pStyle w:val="Heading3"/>
      </w:pPr>
      <w:r>
        <w:rPr>
          <w:rFonts w:ascii="Arial" w:eastAsia="Microsoft YaHei"/>
        </w:rPr>
        <w:t xml:space="preserve">策略自动化配置的能力依赖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通过对 10 个策略配置 Skill 的源码分析，自动化流水线的 AI 能力依赖可归纳为以下四类：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LLM 推理能力（核心依赖）</w:t>
      </w:r>
      <w:r>
        <w:rPr>
          <w:rFonts w:ascii="Arial" w:eastAsia="Microsoft YaHei"/>
        </w:rPr>
        <w:t xml:space="preserve">：所有 Skill 均采用"LLM-as-Agent"架构——LLM 作为宿主会话运行，负责语义解析非结构化输入（Excel、自然语言描述、流程图图片）、生成结构化中间产物、编写 Groovy/Java 代码片段、做出编排调度决策。Skill 内的 Python 脚本本身是纯确定性计算（JSON 校验、Excel 生成、哈希比对），不直接调用任何 LLM API，但它们的输入依赖 Agent LLM 的语义理解输出。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浏览器自动化（必要依赖）</w:t>
      </w:r>
      <w:r>
        <w:rPr>
          <w:rFonts w:ascii="Arial" w:eastAsia="Microsoft YaHei"/>
        </w:rPr>
        <w:t xml:space="preserve">：</w:t>
      </w:r>
      <w:r>
        <w:rPr>
          <w:rFonts w:ascii="Consolas" w:cs="Consolas" w:eastAsia="Consolas" w:hAnsi="Consolas"/>
        </w:rPr>
        <w:t xml:space="preserve">tiance-metadata-scout</w:t>
      </w:r>
      <w:r>
        <w:rPr>
          <w:rFonts w:ascii="Arial" w:eastAsia="Microsoft YaHei"/>
        </w:rPr>
        <w:t xml:space="preserve"> 通过 Chrome DevTools Protocol（CDP）在天策平台页面主世界执行 JavaScript 采集脚本，获取平台元数据；</w:t>
      </w:r>
      <w:r>
        <w:rPr>
          <w:rFonts w:ascii="Consolas" w:cs="Consolas" w:eastAsia="Consolas" w:hAnsi="Consolas"/>
        </w:rPr>
        <w:t xml:space="preserve">tiance-component-lifecycle</w:t>
      </w:r>
      <w:r>
        <w:rPr>
          <w:rFonts w:ascii="Arial" w:eastAsia="Microsoft YaHei"/>
        </w:rPr>
        <w:t xml:space="preserve"> 依赖已认证的浏览器会话进行组件导入和生命周期操作。这两个环节无法通过纯 API 替代。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文档处理能力（必要依赖）</w:t>
      </w:r>
      <w:r>
        <w:rPr>
          <w:rFonts w:ascii="Arial" w:eastAsia="Microsoft YaHei"/>
        </w:rPr>
        <w:t xml:space="preserve">：11 个 Skill 使用 </w:t>
      </w:r>
      <w:r>
        <w:rPr>
          <w:rFonts w:ascii="Consolas" w:cs="Consolas" w:eastAsia="Consolas" w:hAnsi="Consolas"/>
        </w:rPr>
        <w:t xml:space="preserve">openpyxl</w:t>
      </w:r>
      <w:r>
        <w:rPr>
          <w:rFonts w:ascii="Arial" w:eastAsia="Microsoft YaHei"/>
        </w:rPr>
        <w:t xml:space="preserve"> 读写 Excel，</w:t>
      </w:r>
      <w:r>
        <w:rPr>
          <w:rFonts w:ascii="Consolas" w:cs="Consolas" w:eastAsia="Consolas" w:hAnsi="Consolas"/>
        </w:rPr>
        <w:t xml:space="preserve">tiance-field-forge</w:t>
      </w:r>
      <w:r>
        <w:rPr>
          <w:rFonts w:ascii="Arial" w:eastAsia="Microsoft YaHei"/>
        </w:rPr>
        <w:t xml:space="preserve"> 额外依赖 </w:t>
      </w:r>
      <w:r>
        <w:rPr>
          <w:rFonts w:ascii="Consolas" w:cs="Consolas" w:eastAsia="Consolas" w:hAnsi="Consolas"/>
        </w:rPr>
        <w:t xml:space="preserve">xlrd</w:t>
      </w:r>
      <w:r>
        <w:rPr>
          <w:rFonts w:ascii="Arial" w:eastAsia="Microsoft YaHei"/>
        </w:rPr>
        <w:t xml:space="preserve">/</w:t>
      </w:r>
      <w:r>
        <w:rPr>
          <w:rFonts w:ascii="Consolas" w:cs="Consolas" w:eastAsia="Consolas" w:hAnsi="Consolas"/>
        </w:rPr>
        <w:t xml:space="preserve">xlwt</w:t>
      </w:r>
      <w:r>
        <w:rPr>
          <w:rFonts w:ascii="Arial" w:eastAsia="Microsoft YaHei"/>
        </w:rPr>
        <w:t xml:space="preserve"> 处理旧版 .xls 格式。这些是 Python 库依赖，不涉及 AI 模型。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Agent 编排框架（必要依赖）</w:t>
      </w:r>
      <w:r>
        <w:rPr>
          <w:rFonts w:ascii="Arial" w:eastAsia="Microsoft YaHei"/>
        </w:rPr>
        <w:t xml:space="preserve">：流水线由 </w:t>
      </w:r>
      <w:r>
        <w:rPr>
          <w:rFonts w:ascii="Consolas" w:cs="Consolas" w:eastAsia="Consolas" w:hAnsi="Consolas"/>
        </w:rPr>
        <w:t xml:space="preserve">tiance-component-lifecycle</w:t>
      </w:r>
      <w:r>
        <w:rPr>
          <w:rFonts w:ascii="Arial" w:eastAsia="Microsoft YaHei"/>
        </w:rPr>
        <w:t xml:space="preserve"> 统一调度 8 层依赖链，要求 Agent 框架支持多 Skill 路由、子任务并行、会话状态持久化、工具调用（Bash、文件读写、浏览器控制）。</w:t>
      </w:r>
    </w:p>
    <w:p>
      <w:pPr>
        <w:pStyle w:val="Heading3"/>
      </w:pPr>
      <w:r>
        <w:rPr>
          <w:rFonts w:ascii="Arial" w:eastAsia="Microsoft YaHei"/>
        </w:rPr>
        <w:t xml:space="preserve">建设差距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客户当前状态与目标状态之间的差距如下：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维度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当前状态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目标状态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LLM 推理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离线部署的大语言模型（Qwen3.5/3.6），支持中文理解、代码生成、工具调用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GPU/NPU 算力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至少 1 台昇腾 NPU 服务器（910B/910C）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框架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支持 Skill 编排和浏览器自动化的 Agent 运行平台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浏览器环境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有桌面 Chrome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Chrome + CDP 远程调试 + 自动化控制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Python 运行时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可能已有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Python 3.12 + openpyxl/xlrd/xlwt 等依赖库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网络环境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内网隔离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保持隔离，所有组件离线部署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整体架构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方案采用四层架构，自底向上依次为：算力层 → 模型服务层 → Agent 平台层 → Skill 应用层。各层职责明确，松耦合对接。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               Skill 应用层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metadata-scout → field → datasource → function →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rule + metric → policy → component-lifecycle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               Agent 平台层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Agent 框架 (TDForge/Dify) + Chrome 浏览器自动化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               模型服务层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vLLM Ascend 推理引擎 → OpenAI 兼容 API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模型：Qwen3.6-35B-A3B / Qwen3.5-27B / 122B-A10B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               算力层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鲲鹏920 + Atlas 300V Pro / 300I Duo / 910B4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或 x86 + NVIDIA RTX5880 Ada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Arial" w:eastAsia="Microsoft YaHei"/>
        </w:rPr>
        <w:t xml:space="preserve">算力层设计</w:t>
      </w:r>
    </w:p>
    <w:p>
      <w:pPr>
        <w:pStyle w:val="Heading3"/>
      </w:pPr>
      <w:r>
        <w:rPr>
          <w:rFonts w:ascii="Arial" w:eastAsia="Microsoft YaHei"/>
        </w:rPr>
        <w:t xml:space="preserve">硬件选型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策略配置场景的 LLM 负载特征为：长上下文（元数据 JSON 通常 50-200KB）、结构化输出（代码生成、JSON 构造）、中文理解（规则描述、字段映射）。硬件选型须同时考虑算力需求、采购渠道可行性和信创合规要求。当前市场有两条主流技术路线：华为鲲鹏+昇腾路线（ARM CPU + Ascend NPU，信创合规）和 x86 + NVIDIA 路线（开发便捷，生态成熟）。以下基于实际渠道报价数据给出推荐方案。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路线一：华为鲲鹏 + 昇腾（信创合规，推荐）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该路线采用鲲鹏 920 ARM CPU 搭配昇腾系列加速卡，符合信创合规要求，适用于有国产化需求的客户。以下为渠道实际报价的 5 种配置：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服务器型号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显存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CPU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内存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含税单价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适用场景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配置一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HuaKun TG225 B1（2U）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1× Atlas 300V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24GB LPDDR4X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鲲鹏920 32核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64GB DDR4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¥4.9万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边缘推理，小模型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配置二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HuaKun TG225 B1（2U）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1× Atlas 300V Pro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48GB LPDDR4X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鲲鹏920 32核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128GB DDR4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¥6.5万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中型模型推理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HuaKun AT800 Model 3000（2U）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1× Atlas 300I Duo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96GB LPDDR4X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鲲鹏920 32核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256GB DDR4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¥15万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中心推理，大模型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配置四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HuaKun TG225 B1（2U）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3× Atlas 300V Pro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144GB LPDDR4X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鲲鹏920 32核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256GB DDR4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¥11.6万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多模型并行推理</w:t>
            </w:r>
          </w:p>
        </w:tc>
      </w:tr>
      <w:t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配置五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HuaKun AT9508 G3（4U）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5× Atlas 300I Duo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480GB LPDDR4X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鲲鹏920 48核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384GB DDR4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¥27万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大规模中心推理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此外还有高端 NPU 模组方案：kunlunG55 80（8× Atlas 300I A2，¥62.85万）和 8× 昇腾910B4 NPU 模组服务器（¥86.6万），适用于需要训练或超大规模推理的场景。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加速卡定位对比</w:t>
      </w:r>
      <w:r>
        <w:rPr>
          <w:rFonts w:ascii="Arial" w:eastAsia="Microsoft YaHei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显存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功耗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定位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支持的模型规模（FP16）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Atlas 300V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24GB LPDDR4X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72W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边缘/视频推理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≤ 10B 参数模型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Atlas 300V Pro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48GB LPDDR4X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72W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中型推理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≤ 20B 参数模型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Atlas 300I Duo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96GB LPDDR4X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150W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中心推理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≤ 40B 参数模型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路线二：x86 + NVIDIA（开发便捷）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该路线采用 Intel/AMD CPU 搭配 NVIDIA RTX5880 Ada 专业显卡，CUDA 生态成熟，vLLM/PyTorch 直接运行，适用于无信创要求的客户。以下为渠道报价的 3 款塔式工作站：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CPU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显卡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显存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内存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含税单价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适用场景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工作站 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Intel Core Ultra 9 285K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1× RTX5880 Ada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48GB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128GB DDR5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¥8.39万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开发调试，单模型推理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工作站 B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AMD Threadripper 7970X 64核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RTX5880 Ada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96GB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256GB DDR5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¥20.6万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中型模型推理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工作站 C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AMD Threadripper 7970X 64核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3× RTX5880 Ada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144GB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256GB DDR5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¥25.8万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大模型推理，多模型并行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模型与硬件映射推荐</w:t>
      </w:r>
      <w:r>
        <w:rPr>
          <w:rFonts w:ascii="Arial" w:eastAsia="Microsoft YaHei"/>
        </w:rPr>
        <w:t xml:space="preserve">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针对策略配置首选模型 Qwen3.6-35B-A3B（MoE，总参数 35B，FP16 约需 70GB 显存加载），各配置的适配情况：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可用显存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能否运行 Qwen3.6-35B-A3B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备注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配置二（Atlas 300V Pro）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48GB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需量化（INT8）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量化后约 35GB，可运行但精度有损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配置三（Atlas 300I Duo）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96GB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FP16 流畅运行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推荐方案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配置四（3× Atlas 300V Pro）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144GB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FP16 流畅运行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可张量并行，性价比高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工作站 A（1× RTX5880 Ada）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48GB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需量化（INT8）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同上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工作站 B（2× RTX5880 Ada）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96GB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FP16 流畅运行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推荐方案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工作站 C（3× RTX5880 Ada）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144GB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FP16 流畅运行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可运行更大模型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综合推荐</w:t>
      </w:r>
      <w:r>
        <w:rPr>
          <w:rFonts w:ascii="Arial" w:eastAsia="Microsoft YaHei"/>
        </w:rPr>
        <w:t xml:space="preserve">：如客户有信创合规要求，推荐</w:t>
      </w:r>
      <w:r>
        <w:rPr>
          <w:rFonts w:ascii="Arial" w:eastAsia="Microsoft YaHei"/>
          <w:b/>
          <w:bCs/>
        </w:rPr>
        <w:t xml:space="preserve">配置三</w:t>
      </w:r>
      <w:r>
        <w:rPr>
          <w:rFonts w:ascii="Arial" w:eastAsia="Microsoft YaHei"/>
        </w:rPr>
        <w:t xml:space="preserve">（HuaKun AT800 + Atlas 300I Duo 96GB，¥15万）作为最低可行方案，或</w:t>
      </w:r>
      <w:r>
        <w:rPr>
          <w:rFonts w:ascii="Arial" w:eastAsia="Microsoft YaHei"/>
          <w:b/>
          <w:bCs/>
        </w:rPr>
        <w:t xml:space="preserve">配置四</w:t>
      </w:r>
      <w:r>
        <w:rPr>
          <w:rFonts w:ascii="Arial" w:eastAsia="Microsoft YaHei"/>
        </w:rPr>
        <w:t xml:space="preserve">（3× Atlas 300V Pro 144GB，¥11.6万）作为性价比方案。如无信创要求，推荐</w:t>
      </w:r>
      <w:r>
        <w:rPr>
          <w:rFonts w:ascii="Arial" w:eastAsia="Microsoft YaHei"/>
          <w:b/>
          <w:bCs/>
        </w:rPr>
        <w:t xml:space="preserve">工作站 B</w:t>
      </w:r>
      <w:r>
        <w:rPr>
          <w:rFonts w:ascii="Arial" w:eastAsia="Microsoft YaHei"/>
        </w:rPr>
        <w:t xml:space="preserve">（2× RTX5880 Ada 96GB，¥20.6万）。</w:t>
      </w:r>
    </w:p>
    <w:p>
      <w:pPr>
        <w:pStyle w:val="Heading3"/>
      </w:pPr>
      <w:r>
        <w:rPr>
          <w:rFonts w:ascii="Arial" w:eastAsia="Microsoft YaHei"/>
        </w:rPr>
        <w:t xml:space="preserve">网络与安全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由于完全内网隔离，须注意以下要点：所有部署包（模型权重、Docker 镜像、npm/pip 包）须提前在有外网环境的机器上下载，通过 U 盘或 FTP 中转入内网。建议准备一台有外网访问的"中转机"用于首次部署和后续模型/依赖更新。服务器须开放内部端口供 Agent 和浏览器访问：模型推理服务端口（默认 8000）、Agent 平台端口（默认 3000/8001）、Chrome 远程调试端口（默认 9222）。</w:t>
      </w:r>
    </w:p>
    <w:p>
      <w:pPr>
        <w:pStyle w:val="Heading2"/>
      </w:pPr>
      <w:r>
        <w:rPr>
          <w:rFonts w:ascii="Arial" w:eastAsia="Microsoft YaHei"/>
        </w:rPr>
        <w:t xml:space="preserve">模型服务层设计</w:t>
      </w:r>
    </w:p>
    <w:p>
      <w:pPr>
        <w:pStyle w:val="Heading3"/>
      </w:pPr>
      <w:r>
        <w:rPr>
          <w:rFonts w:ascii="Arial" w:eastAsia="Microsoft YaHei"/>
        </w:rPr>
        <w:t xml:space="preserve">模型选型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策略配置场景对 LLM 的核心要求包括：中文语义理解（解析规则描述、字段含义）、代码生成（Groovy 脚本、Java ETL 代码片段）、结构化输出（JSON 构造、Excel 内容解析）、工具调用（Function Calling，驱动多步编排）。综合评估后推荐以下模型：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Qwen 模型系列概览（2026 年最新版）</w:t>
      </w:r>
      <w:r>
        <w:rPr>
          <w:rFonts w:ascii="Arial" w:eastAsia="Microsoft YaHei"/>
        </w:rPr>
        <w:t xml:space="preserve">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通义千问（Qwen）已迭代至 3.5 和 3.6 两代，相比 Qwen3 有质的飞跃。Qwen3.5 采用 Gated Delta Networks + 稀疏 MoE 混合架构，在数万亿多模态 Token 上训练，支持 201 种语言，中等尺寸模型已全面超越上代旗舰 Qwen3-235B-A22B。Qwen3.6 在此基础上进一步强化 Agent 编码和仓库级推理能力，引入思维上下文保持机制，更适合多步编排场景。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架构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总参数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激活参数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发布时间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特点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MoE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35B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2026.04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编码强化，思维上下文保持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Qwen3.6-27B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Dense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27B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27B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2026.04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密集架构，稳定推理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Qwen3.5-35B-A3B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MoE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35B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2026.02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高稀疏 MoE，多模态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Qwen3.5-27B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Dense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27B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27B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2026.02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首个中型 Dense 模型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Qwen3.5-122B-A10B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MoE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122B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2026.02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大模型能力，激活参数仅 10B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Qwen3.5-397B-A17B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MoE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397B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17B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2026.02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旗舰模型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首选：Qwen3.6-35B-A3B</w:t>
      </w:r>
      <w:r>
        <w:rPr>
          <w:rFonts w:ascii="Arial" w:eastAsia="Microsoft YaHei"/>
        </w:rPr>
        <w:t xml:space="preserve">。Apache 2.0 开源协议，商用无限制。总参数 35B 但激活参数仅 3B，推理开销极低——在单张昇腾 910B 64GB 上即可流畅运行 FP16 推理。原生支持 Function Calling、Agent 编码和仓库级推理，是策略配置多步编排场景的最佳选择。Qwen3.6 特有的思维上下文保持（Thinking Preservation）机制可在多轮对话中保留推理链，显著降低迭代开销。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备选：Qwen3.5-27B</w:t>
      </w:r>
      <w:r>
        <w:rPr>
          <w:rFonts w:ascii="Arial" w:eastAsia="Microsoft YaHei"/>
        </w:rPr>
        <w:t xml:space="preserve">。密集架构 27B 参数，推理能力略强于 35B-A3B 的激活部分，适合对输出稳定性要求极高的场景。在昇腾 910B 上可运行但显存较紧，推荐 910C 128GB。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高配：Qwen3.5-122B-A10B</w:t>
      </w:r>
      <w:r>
        <w:rPr>
          <w:rFonts w:ascii="Arial" w:eastAsia="Microsoft YaHei"/>
        </w:rPr>
        <w:t xml:space="preserve">。总参数 122B，激活参数 10B，能力对标旗舰级 Qwen3-235B-A22B。需要 2 张昇腾 910C 做张量并行，适合策略复杂度极高或需要同时处理多个项目配置的场景。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备选：DeepSeek-V3.1</w:t>
      </w:r>
      <w:r>
        <w:rPr>
          <w:rFonts w:ascii="Arial" w:eastAsia="Microsoft YaHei"/>
        </w:rPr>
        <w:t xml:space="preserve">。综合能力强，工具调用能力突出，但在昇腾 NPU 上的适配成熟度不如 Qwen 系列，需要额外验证。</w:t>
      </w:r>
    </w:p>
    <w:p>
      <w:pPr>
        <w:pStyle w:val="Heading3"/>
      </w:pPr>
      <w:r>
        <w:rPr>
          <w:rFonts w:ascii="Arial" w:eastAsia="Microsoft YaHei"/>
        </w:rPr>
        <w:t xml:space="preserve">推理引擎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推荐使用 </w:t>
      </w:r>
      <w:r>
        <w:rPr>
          <w:rFonts w:ascii="Arial" w:eastAsia="Microsoft YaHei"/>
          <w:b/>
          <w:bCs/>
        </w:rPr>
        <w:t xml:space="preserve">vLLM</w:t>
      </w:r>
      <w:r>
        <w:rPr>
          <w:rFonts w:ascii="Arial" w:eastAsia="Microsoft YaHei"/>
        </w:rPr>
        <w:t xml:space="preserve"> 作为推理引擎。它是目前最成熟的开源 LLM 推理框架，已通过 </w:t>
      </w:r>
      <w:r>
        <w:rPr>
          <w:rFonts w:ascii="Arial" w:eastAsia="Microsoft YaHei"/>
          <w:b/>
          <w:bCs/>
        </w:rPr>
        <w:t xml:space="preserve">vLLM Ascend 插件</w:t>
      </w:r>
      <w:r>
        <w:rPr>
          <w:rFonts w:ascii="Arial" w:eastAsia="Microsoft YaHei"/>
        </w:rPr>
        <w:t xml:space="preserve">（vllm-ascend）原生支持华为昇腾 NPU，同时兼容 NVIDIA GPU。核心特性包括：OpenAI 兼容 API（Agent 框架可直接对接）、PagedAttention 显存管理（提升吞吐量）、连续批处理（多会话并发）、离线部署（Docker 镜像离线导入）。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昇腾 NPU 部署方式</w:t>
      </w:r>
      <w:r>
        <w:rPr>
          <w:rFonts w:ascii="Arial" w:eastAsia="Microsoft YaHei"/>
        </w:rPr>
        <w:t xml:space="preserve">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# 在有外网的中转机拉取 vLLM Ascend Docker 镜像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docker pull quay.io/ascend/vllm-ascend:latest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docker save quay.io/ascend/vllm-ascend:latest -o vllm-ascend.tar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# 模型权重提前下载（以 Qwen3.6-35B-A3B 为例）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# 从 ModelScope 下载 Qwen/Qwen3.6-35B-A3B 到本地目录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# 安装 CANN 驱动和固件（华为提供离线安装包）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# Ascend-cann-toolkit.run + Ascend-hdk-910b-npu-driver.run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# FTP 转入内网服务器后启动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docker load -i vllm-ascend.tar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docker run --device /dev/davinci0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--device /dev/davinci_manager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--device /dev/devmm_svm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--device /dev/hisi_hdc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-v /usr/local/dcmi:/usr/local/dcmi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-v /usr/local/bin/npu-smi:/usr/local/bin/npu-smi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-v /usr/local/Ascend/driver/lib64:/usr/local/Ascend/driver/lib64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-v /data/models/qwen3.6-35b-a3b:/model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-p 8000:8000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quay.io/ascend/vllm-ascend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--model /model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--max-model-len 32768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--tensor-parallel-size 1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NVIDIA GPU 部署方式</w:t>
      </w:r>
      <w:r>
        <w:rPr>
          <w:rFonts w:ascii="Arial" w:eastAsia="Microsoft YaHei"/>
        </w:rPr>
        <w:t xml:space="preserve">（如客户已有 NVIDIA 显卡）：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docker pull vllm/vllm-openai:latest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docker run --gpus all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-v /data/models/qwen3.6-35b-a3b:/model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-p 8000:8000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vllm/vllm-openai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--model /model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--max-model-len 32768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--tensor-parallel-size 1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两种方式均提供 OpenAI 兼容的 </w:t>
      </w:r>
      <w:r>
        <w:rPr>
          <w:rFonts w:ascii="Consolas" w:cs="Consolas" w:eastAsia="Consolas" w:hAnsi="Consolas"/>
        </w:rPr>
        <w:t xml:space="preserve">http://localhost:8000/v1/chat/completions</w:t>
      </w:r>
      <w:r>
        <w:rPr>
          <w:rFonts w:ascii="Arial" w:eastAsia="Microsoft YaHei"/>
        </w:rPr>
        <w:t xml:space="preserve"> 接口，Agent 框架直接调用，无需区分底层硬件。</w:t>
      </w:r>
    </w:p>
    <w:p>
      <w:pPr>
        <w:pStyle w:val="Heading3"/>
      </w:pPr>
      <w:r>
        <w:rPr>
          <w:rFonts w:ascii="Arial" w:eastAsia="Microsoft YaHei"/>
        </w:rPr>
        <w:t xml:space="preserve">模型评估指标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部署后须验证以下能力达标：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评估维度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测试方法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达标标准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中文理解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输入一段风控规则描述，要求提取条件、阈值、处置动作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准确率 ≥ 90%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代码生成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给定计算逻辑描述，生成 Groovy 脚本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语法正确且逻辑等价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结构化输出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输入 Excel 截图，要求提取为 JSON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字段名和值完全匹配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工具调用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驱动 3 步以上的多 Skill 编排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步骤顺序正确，参数传递无误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长上下文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输入 100KB 元数据 JSON，要求查询特定字段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返回结果准确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Agent 平台层设计</w:t>
      </w:r>
    </w:p>
    <w:p>
      <w:pPr>
        <w:pStyle w:val="Heading3"/>
      </w:pPr>
      <w:r>
        <w:rPr>
          <w:rFonts w:ascii="Arial" w:eastAsia="Microsoft YaHei"/>
        </w:rPr>
        <w:t xml:space="preserve">框架选型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Agent 平台是连接 LLM 模型和策略配置 Skill 的中枢。它须满足以下要求：支持 OpenAI 兼容 API 对接离线模型、具备工具调用能力（Bash 执行、文件读写、浏览器控制）、支持 Skill 发现和路由、支持子任务并行和会话持久化、可离线部署。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推荐两种方案：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方案 A：TDForge（推荐）</w:t>
      </w:r>
      <w:r>
        <w:rPr>
          <w:rFonts w:ascii="Arial" w:eastAsia="Microsoft YaHei"/>
        </w:rPr>
        <w:t xml:space="preserve">。TDForge 是同盾自研的 AI Agent 平台，基于 Electron Desktop 架构，内嵌 Python 3.12 + FastAPI + Next.js。原生支持 Skill 体系、浏览器自动化、子任务并行。与策略配置 Skill 的兼容性最好，开箱即用。缺点是桌面应用形态，不适合多用户并发，适合单用户使用。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方案 B：Dify + DeerFlow</w:t>
      </w:r>
      <w:r>
        <w:rPr>
          <w:rFonts w:ascii="Arial" w:eastAsia="Microsoft YaHei"/>
        </w:rPr>
        <w:t xml:space="preserve">。Dify 是开源 AI 应用开发平台（Docker 部署，中文界面），DeerFlow 是字节跳动开源的 Agent 框架。两者组合可提供 Web 化的 Agent 编排界面，支持多用户访问。缺点是需要将策略配置 Skill 适配为 Dify 的工作流节点，初期适配工作量较大。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对比维度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Dify + DeerFlow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部署复杂度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低（桌面应用）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中（Docker Compose）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 兼容性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原生支持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需适配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多用户支持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单用户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多用户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浏览器自动化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内置 Chrome 控制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需集成 Playwright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支持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支持（Docker 离线）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适用场景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单人策略配置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团队协作配置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浏览器自动化环境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策略配置流水线的元数据采集和组件导入环节依赖浏览器自动化，须确保以下环境就绪：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Chrome 浏览器须安装并开启远程调试端口（</w:t>
      </w:r>
      <w:r>
        <w:rPr>
          <w:rFonts w:ascii="Consolas" w:cs="Consolas" w:eastAsia="Consolas" w:hAnsi="Consolas"/>
        </w:rPr>
        <w:t xml:space="preserve">--remote-debugging-port=9222</w:t>
      </w:r>
      <w:r>
        <w:rPr>
          <w:rFonts w:ascii="Arial" w:eastAsia="Microsoft YaHei"/>
        </w:rPr>
        <w:t xml:space="preserve">），Agent 通过 CDP 协议与 Chrome 交互。天策平台页面须在 Chrome 中完成登录并保持会话活跃。Agent 执行的 JavaScript 代码运行在页面主世界（main world），可直接访问 sessionStorage、cookie 和页面 DOM。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对于 TDForge 方案，浏览器控制已内置，无需额外配置。对于 Dify 方案，须额外部署 Playwright 服务并注册为 Agent 工具。</w:t>
      </w:r>
    </w:p>
    <w:p>
      <w:pPr>
        <w:pStyle w:val="Heading3"/>
      </w:pPr>
      <w:r>
        <w:rPr>
          <w:rFonts w:ascii="Arial" w:eastAsia="Microsoft YaHei"/>
        </w:rPr>
        <w:t xml:space="preserve">Python 运行时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所有 Skill 的脚本层依赖 Python 3.12 运行时和以下库：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用途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openpyxl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≥ 3.1.0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Excel .xlsx 读写（11 个 Skill 使用）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xlrd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≥ 2.0.0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旧版 .xls 读取（tiance-field-forge）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xlwt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≥ 1.3.0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旧版 .xls 写入（tiance-field-forge）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requests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≥ 2.28.0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HTTP 请求（API 调用）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pandas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≥ 2.0.0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数据处理（tiance-model-strategy）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xlsxwriter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≥ 3.0.0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Excel 写入（tiance-model-strategy）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须提前在有外网环境用 </w:t>
      </w:r>
      <w:r>
        <w:rPr>
          <w:rFonts w:ascii="Consolas" w:cs="Consolas" w:eastAsia="Consolas" w:hAnsi="Consolas"/>
        </w:rPr>
        <w:t xml:space="preserve">pip download</w:t>
      </w:r>
      <w:r>
        <w:rPr>
          <w:rFonts w:ascii="Arial" w:eastAsia="Microsoft YaHei"/>
        </w:rPr>
        <w:t xml:space="preserve"> 下载所有依赖包，转入内网后用 </w:t>
      </w:r>
      <w:r>
        <w:rPr>
          <w:rFonts w:ascii="Consolas" w:cs="Consolas" w:eastAsia="Consolas" w:hAnsi="Consolas"/>
        </w:rPr>
        <w:t xml:space="preserve">pip install --no-index --find-links</w:t>
      </w:r>
      <w:r>
        <w:rPr>
          <w:rFonts w:ascii="Arial" w:eastAsia="Microsoft YaHei"/>
        </w:rPr>
        <w:t xml:space="preserve"> 离线安装。</w:t>
      </w:r>
    </w:p>
    <w:p>
      <w:pPr>
        <w:pStyle w:val="Heading2"/>
      </w:pPr>
      <w:r>
        <w:rPr>
          <w:rFonts w:ascii="Arial" w:eastAsia="Microsoft YaHei"/>
        </w:rPr>
        <w:t xml:space="preserve">Skill 应用层部署</w:t>
      </w:r>
    </w:p>
    <w:p>
      <w:pPr>
        <w:pStyle w:val="Heading3"/>
      </w:pPr>
      <w:r>
        <w:rPr>
          <w:rFonts w:ascii="Arial" w:eastAsia="Microsoft YaHei"/>
        </w:rPr>
        <w:t xml:space="preserve">Skill 清单与部署顺序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策略自动化配置涉及以下 10 个核心 Skill，按依赖关系排列：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层级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 名称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职责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当前版本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前置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tiance-metadata-scout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平台元数据采集与校验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v2.2.0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第 1 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tiance-component-lifecycle:basic-config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基础配置（机构/事件/渠道）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v2.27.1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第 2 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tiance-field-forge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系统字段与动态字段生成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v1.8.0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第 3 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tiance-datasource-forge + tiance-etl-forge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数据源与 ETL 处理器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v3.5.0 / v2.2.0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第 4 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tiance-service-config-forge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接口服务配置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v1.6.0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第 5 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tiance-function-forge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函数包生成与校验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v2.3.1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第 6-7 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tiance-rule-forge + tiance-realtime-metric-forge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规则集与实时指标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v3.8.0 / v2.1.0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第 8 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tiance-policy-forge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策略编排与 .pls 生成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v2.2.0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Skill 部署方式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Skill 文件以目录形式部署在 Agent 平台的 Skill 根目录下（如 </w:t>
      </w:r>
      <w:r>
        <w:rPr>
          <w:rFonts w:ascii="Consolas" w:cs="Consolas" w:eastAsia="Consolas" w:hAnsi="Consolas"/>
        </w:rPr>
        <w:t xml:space="preserve">~/.qoderwork/skills/</w:t>
      </w:r>
      <w:r>
        <w:rPr>
          <w:rFonts w:ascii="Arial" w:eastAsia="Microsoft YaHei"/>
        </w:rPr>
        <w:t xml:space="preserve"> 或 Dify 的自定义工具目录）。每个 Skill 目录包含 </w:t>
      </w:r>
      <w:r>
        <w:rPr>
          <w:rFonts w:ascii="Consolas" w:cs="Consolas" w:eastAsia="Consolas" w:hAnsi="Consolas"/>
        </w:rPr>
        <w:t xml:space="preserve">SKILL.md</w:t>
      </w:r>
      <w:r>
        <w:rPr>
          <w:rFonts w:ascii="Arial" w:eastAsia="Microsoft YaHei"/>
        </w:rPr>
        <w:t xml:space="preserve">（技能定义）、</w:t>
      </w:r>
      <w:r>
        <w:rPr>
          <w:rFonts w:ascii="Consolas" w:cs="Consolas" w:eastAsia="Consolas" w:hAnsi="Consolas"/>
        </w:rPr>
        <w:t xml:space="preserve">scripts/</w:t>
      </w:r>
      <w:r>
        <w:rPr>
          <w:rFonts w:ascii="Arial" w:eastAsia="Microsoft YaHei"/>
        </w:rPr>
        <w:t xml:space="preserve">（确定性脚本）、</w:t>
      </w:r>
      <w:r>
        <w:rPr>
          <w:rFonts w:ascii="Consolas" w:cs="Consolas" w:eastAsia="Consolas" w:hAnsi="Consolas"/>
        </w:rPr>
        <w:t xml:space="preserve">references/</w:t>
      </w:r>
      <w:r>
        <w:rPr>
          <w:rFonts w:ascii="Arial" w:eastAsia="Microsoft YaHei"/>
        </w:rPr>
        <w:t xml:space="preserve">（参考文档）。Agent 在收到用户指令后自动匹配并加载对应 Skill。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Skill 包须从团队 Git 仓库的 develop 分支获取，通过 </w:t>
      </w:r>
      <w:r>
        <w:rPr>
          <w:rFonts w:ascii="Consolas" w:cs="Consolas" w:eastAsia="Consolas" w:hAnsi="Consolas"/>
        </w:rPr>
        <w:t xml:space="preserve">skill-sync</w:t>
      </w:r>
      <w:r>
        <w:rPr>
          <w:rFonts w:ascii="Arial" w:eastAsia="Microsoft YaHei"/>
        </w:rPr>
        <w:t xml:space="preserve"> 工具同步到目标环境。首次部署须完整同步，后续更新只需增量拉取。</w:t>
      </w:r>
    </w:p>
    <w:p>
      <w:pPr>
        <w:pStyle w:val="Heading2"/>
      </w:pPr>
      <w:r>
        <w:rPr>
          <w:rFonts w:ascii="Arial" w:eastAsia="Microsoft YaHei"/>
        </w:rPr>
        <w:t xml:space="preserve">实施计划</w:t>
      </w:r>
    </w:p>
    <w:p>
      <w:pPr>
        <w:pStyle w:val="Heading3"/>
      </w:pPr>
      <w:r>
        <w:rPr>
          <w:rFonts w:ascii="Arial" w:eastAsia="Microsoft YaHei"/>
        </w:rPr>
        <w:t xml:space="preserve">阶段一：环境搭建（第 1-2 周）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本阶段完成硬件准备和基础软件环境搭建。具体任务包括：华为鲲鹏服务器采购（推荐配置三 HuaKun AT800 或配置四 TG225 B1）、操作系统安装（openEuler 或 Ubuntu 22.04 ARM 版）、CANN 驱动和固件安装（Ascend-cann-toolkit + npu-driver）、Docker 离线安装、Python 3.12 环境搭建、离线依赖包下载与转入。</w:t>
      </w:r>
    </w:p>
    <w:p>
      <w:pPr>
        <w:pStyle w:val="Heading3"/>
      </w:pPr>
      <w:r>
        <w:rPr>
          <w:rFonts w:ascii="Arial" w:eastAsia="Microsoft YaHei"/>
        </w:rPr>
        <w:t xml:space="preserve">阶段二：模型部署（第 3 周）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本阶段完成 LLM 推理服务的部署和验证。具体任务包括：Qwen3.6-35B-A3B 模型权重下载与转入（从 ModelScope 离线下载）、vLLM Ascend 推理引擎 Docker 部署、OpenAI 兼容 API 启动与验证、模型能力评估测试（中文理解、代码生成、工具调用、长上下文）。</w:t>
      </w:r>
    </w:p>
    <w:p>
      <w:pPr>
        <w:pStyle w:val="Heading3"/>
      </w:pPr>
      <w:r>
        <w:rPr>
          <w:rFonts w:ascii="Arial" w:eastAsia="Microsoft YaHei"/>
        </w:rPr>
        <w:t xml:space="preserve">阶段三：Agent 平台部署（第 4 周）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本阶段完成 Agent 运行平台的部署。具体任务包括：TDForge 或 Dify + DeerFlow 离线部署、浏览器自动化环境配置（Chrome + CDP）、Agent 与 LLM 推理服务对接、Python 运行时和依赖库安装。</w:t>
      </w:r>
    </w:p>
    <w:p>
      <w:pPr>
        <w:pStyle w:val="Heading3"/>
      </w:pPr>
      <w:r>
        <w:rPr>
          <w:rFonts w:ascii="Arial" w:eastAsia="Microsoft YaHei"/>
        </w:rPr>
        <w:t xml:space="preserve">阶段四：Skill 部署与验证（第 5-6 周）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本阶段完成策略配置 Skill 的部署和端到端验证。具体任务包括：10 个 Skill 同步到 Agent 平台、元数据采集验证（连接天策平台）、使用实际项目数据执行完整 8 层配置流水线、问题修复和参数调优。</w:t>
      </w:r>
    </w:p>
    <w:p>
      <w:pPr>
        <w:pStyle w:val="Heading3"/>
      </w:pPr>
      <w:r>
        <w:rPr>
          <w:rFonts w:ascii="Arial" w:eastAsia="Microsoft YaHei"/>
        </w:rPr>
        <w:t xml:space="preserve">阶段五：试运行与交付（第 7-8 周）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本阶段进入试运行，由客户团队使用真实业务场景验证。具体任务包括：客户团队培训（Agent 操作、Skill 使用、异常处理）、试运行期间问题收集与修复、运维文档编写、正式交付验收。</w:t>
      </w:r>
    </w:p>
    <w:p>
      <w:pPr>
        <w:pStyle w:val="Heading2"/>
      </w:pPr>
      <w:r>
        <w:rPr>
          <w:rFonts w:ascii="Arial" w:eastAsia="Microsoft YaHei"/>
        </w:rPr>
        <w:t xml:space="preserve">风险与应对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硬件采购周期风险</w:t>
      </w:r>
      <w:r>
        <w:rPr>
          <w:rFonts w:ascii="Arial" w:eastAsia="Microsoft YaHei"/>
        </w:rPr>
        <w:t xml:space="preserve">：华为鲲鹏系列服务器（HuaKun TG225 B1 / AT800 / AT9508 G3）国内渠道供货稳定，但高配型号（如 5× 300I Duo 的 AT9508 G3）需提前 2-4 周与渠道商对接。应对措施：提前启动采购流程，或先用配置二（Atlas 300V Pro，¥6.5万）作为开发验证环境，后续升级到配置三或四。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模型能力不足风险</w:t>
      </w:r>
      <w:r>
        <w:rPr>
          <w:rFonts w:ascii="Arial" w:eastAsia="Microsoft YaHei"/>
        </w:rPr>
        <w:t xml:space="preserve">：Qwen3.6-35B-A3B 的激活参数仅 3B，在极复杂的策略编排场景下可能表现不如大参数 Dense 模型。应对措施：预留升级到 Qwen3.5-122B-A10B 的路径（增加 NPU 卡或换用 910C），同时优化 Skill 的 Prompt 工程降低模型负担。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内网部署兼容性风险</w:t>
      </w:r>
      <w:r>
        <w:rPr>
          <w:rFonts w:ascii="Arial" w:eastAsia="Microsoft YaHei"/>
        </w:rPr>
        <w:t xml:space="preserve">：客户内网环境可能存在特殊的网络策略、安全软件或系统限制。应对措施：部署前充分调研客户环境，准备离线安装包和环境自检脚本。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浏览器自动化稳定性风险</w:t>
      </w:r>
      <w:r>
        <w:rPr>
          <w:rFonts w:ascii="Arial" w:eastAsia="Microsoft YaHei"/>
        </w:rPr>
        <w:t xml:space="preserve">：Chrome CDP 自动化在长时间运行或页面结构变更时可能不稳定。应对措施：Skill 内置重试机制和降级路径，关键操作支持手动 Console 执行作为兜底。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2026-08-06T03:13:59.570Z</dcterms:created>
  <dcterms:modified xsi:type="dcterms:W3CDTF">2026-08-06T03:13:59.571Z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