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rPr>
          <w:rFonts w:ascii="Arial" w:eastAsia="Microsoft YaHei"/>
        </w:rPr>
        <w:t xml:space="preserve">第三案 交底书 V10 交接说明（给代理机构，非交底书正文）</w:t>
      </w:r>
    </w:p>
    <w:p>
      <w:pPr>
        <w:spacing w:after="120" w:line="360" w:lineRule="auto"/>
        <w:ind w:firstLine="480"/>
      </w:pPr>
      <w:r>
        <w:rPr>
          <w:rFonts w:ascii="Arial" w:eastAsia="Microsoft YaHei"/>
        </w:rPr>
        <w:t xml:space="preserve">发明名称（V10）：一种面向混合环境迁移的跨控制面配置引用校验与污染识别方法及系统</w:t>
      </w:r>
    </w:p>
    <w:p>
      <w:pPr>
        <w:spacing w:after="120" w:line="360" w:lineRule="auto"/>
        <w:ind w:firstLine="480"/>
      </w:pPr>
      <w:r>
        <w:rPr>
          <w:rFonts w:ascii="Arial" w:eastAsia="Microsoft YaHei"/>
        </w:rPr>
        <w:t xml:space="preserve">本说明从技术交底书正文中移出，专供专利代理机构在正式撰写与检索阶段参考。交底书正文（V10）保持为纯技术方案，不含以下流程性与边界性备注。</w:t>
      </w:r>
    </w:p>
    <w:p>
      <w:pPr>
        <w:pStyle w:val="Heading3"/>
      </w:pPr>
      <w:r>
        <w:rPr>
          <w:rFonts w:ascii="Arial" w:eastAsia="Microsoft YaHei"/>
        </w:rPr>
        <w:t xml:space="preserve">一、撰写边界（防止与 TD260040 重复授权）</w:t>
      </w:r>
    </w:p>
    <w:p>
      <w:pPr>
        <w:spacing w:after="120" w:line="360" w:lineRule="auto"/>
        <w:ind w:firstLine="480"/>
      </w:pPr>
      <w:r>
        <w:rPr>
          <w:rFonts w:ascii="Arial" w:eastAsia="Microsoft YaHei"/>
        </w:rPr>
        <w:t xml:space="preserve">本案以"跨控制面配置引用图、污染识别、迁移复检及其受控处置"为核心发明构思，不主张 AI Agent 能力资产的受控分发、非持久化加载、交互式认证、多协议传输或通用故障决策树；上述相关内容由 TD260040（第一案）对应方案覆盖。权利要求正式撰写时应据此划界，避免与第一案的六个保护点重复授权或产生单一性瑕疵。</w:t>
      </w:r>
    </w:p>
    <w:p>
      <w:pPr>
        <w:pStyle w:val="Heading3"/>
      </w:pPr>
      <w:r>
        <w:rPr>
          <w:rFonts w:ascii="Arial" w:eastAsia="Microsoft YaHei"/>
        </w:rPr>
        <w:t xml:space="preserve">二、与 TD260040 权利要求书的书面对照（建议随案提交）</w:t>
      </w:r>
    </w:p>
    <w:p>
      <w:pPr>
        <w:spacing w:after="120" w:line="360" w:lineRule="auto"/>
        <w:ind w:firstLine="480"/>
      </w:pPr>
      <w:r>
        <w:rPr>
          <w:rFonts w:ascii="Arial" w:eastAsia="Microsoft YaHei"/>
        </w:rPr>
        <w:t xml:space="preserve">本案与第一案在"断点续扫、部署门禁、局部回滚"三处存在概念相邻的特征，建议由代理机构整理一份两案权利要求逐条对照表交审查沟通使用，重点说明：本案的断点续扫限定为"配置项粒度、以 </w:t>
      </w:r>
      <w:r>
        <w:rPr>
          <w:rFonts w:ascii="Consolas" w:cs="Consolas" w:eastAsia="Consolas" w:hAnsi="Consolas"/>
        </w:rPr>
        <w:t xml:space="preserve">input_hash</w:t>
      </w:r>
      <w:r>
        <w:rPr>
          <w:rFonts w:ascii="Arial" w:eastAsia="Microsoft YaHei"/>
        </w:rPr>
        <w:t xml:space="preserve">/</w:t>
      </w:r>
      <w:r>
        <w:rPr>
          <w:rFonts w:ascii="Consolas" w:cs="Consolas" w:eastAsia="Consolas" w:hAnsi="Consolas"/>
        </w:rPr>
        <w:t xml:space="preserve">output_hash</w:t>
      </w:r>
      <w:r>
        <w:rPr>
          <w:rFonts w:ascii="Arial" w:eastAsia="Microsoft YaHei"/>
        </w:rPr>
        <w:t xml:space="preserve"> 判定是否重复处理"，服务于跨控制面配置迁移；本案的门禁判据限定为"BLOCK 状态引用边、阻断级配置漂移冲突、复检残留集合非空"，服务于配置引用一致性；本案的局部回滚限定为"沿参与污染传播的引用边反向可达并与本次变更集求交、uses 共享边不扩张"，与 TD260040 的交互认证／多协议降级／故障决策树类特征分属不同技术手段，不交叉主张。</w:t>
      </w:r>
    </w:p>
    <w:p>
      <w:pPr>
        <w:pStyle w:val="Heading3"/>
      </w:pPr>
      <w:r>
        <w:rPr>
          <w:rFonts w:ascii="Arial" w:eastAsia="Microsoft YaHei"/>
        </w:rPr>
        <w:t xml:space="preserve">三、关于原型执行证据（已按 26 条 3 款口径调整）</w:t>
      </w:r>
    </w:p>
    <w:p>
      <w:pPr>
        <w:spacing w:after="120" w:line="360" w:lineRule="auto"/>
        <w:ind w:firstLine="480"/>
      </w:pPr>
      <w:r>
        <w:rPr>
          <w:rFonts w:ascii="Arial" w:eastAsia="Microsoft YaHei"/>
        </w:rPr>
        <w:t xml:space="preserve">正文 9.2 已由"原型重放实施例"改为"规则演算实施例"，明确其为对给定输入的确定性规则推演，而非真实运行记录；据此删除原稿"提交申请前需补连续执行日志"的硬性要求。专利法第 26 条第 3 款要求的是"本领域技术人员能够实现"，不以真实执行日志为法定要件，本案已就采集、实体规范化、四态判定、类型化转换、全量复检、断点续扫及局部回滚给出可复现的规则与字段级说明。</w:t>
      </w:r>
    </w:p>
    <w:p>
      <w:pPr>
        <w:spacing w:after="120" w:line="360" w:lineRule="auto"/>
        <w:ind w:firstLine="480"/>
      </w:pPr>
      <w:r>
        <w:rPr>
          <w:rFonts w:ascii="Arial" w:eastAsia="Microsoft YaHei"/>
        </w:rPr>
        <w:t xml:space="preserve">作为加强项（非法定必补）：如后续能在测试环境跑通一次"采集 → 检测 → 阻断 → 转换 → 复检 → 放行"的连续执行日志，以及约 295 项配置中断后按配置项级续跑的日志，可进一步提升说服力，届时补充即可。正文 9.1 为已发生的真实迁移过程，与 9.2 的规则推演严格分列，二者不混淆、不冒充。</w:t>
      </w:r>
    </w:p>
    <w:p>
      <w:pPr>
        <w:pStyle w:val="Heading3"/>
      </w:pPr>
      <w:r>
        <w:rPr>
          <w:rFonts w:ascii="Arial" w:eastAsia="Microsoft YaHei"/>
        </w:rPr>
        <w:t xml:space="preserve">四、现有技术文献核验</w:t>
      </w:r>
    </w:p>
    <w:p>
      <w:pPr>
        <w:spacing w:after="120" w:line="360" w:lineRule="auto"/>
        <w:ind w:firstLine="480"/>
      </w:pPr>
      <w:r>
        <w:rPr>
          <w:rFonts w:ascii="Arial" w:eastAsia="Microsoft YaHei"/>
        </w:rPr>
        <w:t xml:space="preserve">正文第 1 节所列 CN111984373A、CN113703915A/B、CN116185991A、CN115587188A/B 四篇经公开专利数据库初步核验均存在，其编号与权利要求的相关性及创造性组合启示以代理机构正式检索结论为准，本稿仅按技术类别描述差异，不作为新颖性或创造性的最终结论。</w:t>
      </w:r>
    </w:p>
    <w:p>
      <w:pPr>
        <w:pStyle w:val="Heading3"/>
      </w:pPr>
      <w:r>
        <w:rPr>
          <w:rFonts w:ascii="Arial" w:eastAsia="Microsoft YaHei"/>
        </w:rPr>
        <w:t xml:space="preserve">五、V8 相对 V7 的主要修订（供核对）</w:t>
      </w:r>
    </w:p>
    <w:p>
      <w:pPr>
        <w:pStyle w:val="ListParagraph"/>
        <w:numPr>
          <w:ilvl w:val="0"/>
          <w:numId w:val="2"/>
        </w:numPr>
      </w:pPr>
      <w:r>
        <w:rPr>
          <w:rFonts w:ascii="Arial" w:eastAsia="Microsoft YaHei"/>
        </w:rPr>
        <w:t xml:space="preserve">修复四态判定逻辑缺口：将"允许"判据补全为"目标环境正确且无告警条件，或非目标环境／具共享资格资源命中适用于该引用类型、操作类型与用途且有效、未临近失效的白名单"；同步收紧"污染边"定义，明确 shared/global 仅表示具备共享资格、不当然排除污染。</w:t>
      </w:r>
    </w:p>
    <w:p>
      <w:pPr>
        <w:pStyle w:val="ListParagraph"/>
        <w:numPr>
          <w:ilvl w:val="0"/>
          <w:numId w:val="2"/>
        </w:numPr>
      </w:pPr>
      <w:r>
        <w:rPr>
          <w:rFonts w:ascii="Arial" w:eastAsia="Microsoft YaHei"/>
        </w:rPr>
        <w:t xml:space="preserve">修复权利要求引用关系：部署门禁之一（权 9，含"阻断级配置漂移冲突"）改挂于引入漂移分级的权 6（权 6 再引权 1，BLOCK 边特征仍继承）。</w:t>
      </w:r>
    </w:p>
    <w:p>
      <w:pPr>
        <w:pStyle w:val="ListParagraph"/>
        <w:numPr>
          <w:ilvl w:val="0"/>
          <w:numId w:val="2"/>
        </w:numPr>
      </w:pPr>
      <w:r>
        <w:rPr>
          <w:rFonts w:ascii="Arial" w:eastAsia="Microsoft YaHei"/>
        </w:rPr>
        <w:t xml:space="preserve">发明名称去除偏窄的"迁移前"限定，改为"面向混合环境迁移"；正文补充迁移前静态扫描／转换后全量复检／取得运行证据后语义比对三阶段说明，以体现保护范围不限于事前门禁。</w:t>
      </w:r>
    </w:p>
    <w:p>
      <w:pPr>
        <w:pStyle w:val="ListParagraph"/>
        <w:numPr>
          <w:ilvl w:val="0"/>
          <w:numId w:val="2"/>
        </w:numPr>
      </w:pPr>
      <w:r>
        <w:rPr>
          <w:rFonts w:ascii="Arial" w:eastAsia="Microsoft YaHei"/>
        </w:rPr>
        <w:t xml:space="preserve">独立方法权利要求（权 1）增加统一环境引用记录的数据结构限定；独立系统权利要求（权 12）写入四态固定优先级判定依据。</w:t>
      </w:r>
    </w:p>
    <w:p>
      <w:pPr>
        <w:pStyle w:val="ListParagraph"/>
        <w:numPr>
          <w:ilvl w:val="0"/>
          <w:numId w:val="2"/>
        </w:numPr>
      </w:pPr>
      <w:r>
        <w:rPr>
          <w:rFonts w:ascii="Arial" w:eastAsia="Microsoft YaHei"/>
        </w:rPr>
        <w:t xml:space="preserve">权利要求段间距收紧，缓解末条权利要求单独成页。附图沿用 V7 的 8 张黑白线稿。</w:t>
      </w:r>
    </w:p>
    <w:p>
      <w:pPr>
        <w:pStyle w:val="Heading3"/>
      </w:pPr>
      <w:r>
        <w:rPr>
          <w:rFonts w:ascii="Arial" w:eastAsia="Microsoft YaHei"/>
        </w:rPr>
        <w:t xml:space="preserve">六、V9 相对 V8 的主要修订（供核对）</w:t>
      </w:r>
    </w:p>
    <w:p>
      <w:pPr>
        <w:pStyle w:val="ListParagraph"/>
        <w:numPr>
          <w:ilvl w:val="0"/>
          <w:numId w:val="2"/>
        </w:numPr>
      </w:pPr>
      <w:r>
        <w:rPr>
          <w:rFonts w:ascii="Arial" w:eastAsia="Microsoft YaHei"/>
        </w:rPr>
        <w:t xml:space="preserve">权利要求12 独立系统权要的四态判定顺序修正为与正文四态表及权利要求4一致："按照阻断判定条件、告警判定条件、未知判定条件及允许判定条件的固定顺序，对每条引用边执行先匹配先定性的四态污染识别，使每条引用边唯一判定为阻断、告警、未知或允许"，并补齐该方法层缺失的谓语-宾语结构，避免内部顺序矛盾影响权利要求保护范围的解释。</w:t>
      </w:r>
    </w:p>
    <w:p>
      <w:pPr>
        <w:pStyle w:val="ListParagraph"/>
        <w:numPr>
          <w:ilvl w:val="0"/>
          <w:numId w:val="2"/>
        </w:numPr>
      </w:pPr>
      <w:r>
        <w:rPr>
          <w:rFonts w:ascii="Arial" w:eastAsia="Microsoft YaHei"/>
        </w:rPr>
        <w:t xml:space="preserve">权利要求12 与权利要求1 对称地补入统一环境引用记录字段限定："所述统一环境引用记录至少包括源资源标识、源控制面类型、引用字段、引用类型和声明目标串"，减轻系统权要的过度功能化倾向。</w:t>
      </w:r>
    </w:p>
    <w:p>
      <w:pPr>
        <w:pStyle w:val="ListParagraph"/>
        <w:numPr>
          <w:ilvl w:val="0"/>
          <w:numId w:val="2"/>
        </w:numPr>
      </w:pPr>
      <w:r>
        <w:rPr>
          <w:rFonts w:ascii="Arial" w:eastAsia="Microsoft YaHei"/>
        </w:rPr>
        <w:t xml:space="preserve">权利要求14 依附关系由"根据权利要求12"改为"根据权利要求13"，配置项级状态记录及中断恢复模块限定为权利要求13 的执行模块子结构，避免与方法层权利要求8（依附于权利要求7）不对称。</w:t>
      </w:r>
    </w:p>
    <w:p>
      <w:pPr>
        <w:pStyle w:val="ListParagraph"/>
        <w:numPr>
          <w:ilvl w:val="0"/>
          <w:numId w:val="2"/>
        </w:numPr>
      </w:pPr>
      <w:r>
        <w:rPr>
          <w:rFonts w:ascii="Arial" w:eastAsia="Microsoft YaHei"/>
        </w:rPr>
        <w:t xml:space="preserve">权利要求1 中"规范化为唯一目标实体"改为"规范化为引用图中具有唯一标识或可唯一寻址的目标实体"，消除与权利要求2 一对多展开为多条边的表面冲突，"唯一"仅指实体标识唯一而非目标串唯一。</w:t>
      </w:r>
    </w:p>
    <w:p>
      <w:pPr>
        <w:pStyle w:val="ListParagraph"/>
        <w:numPr>
          <w:ilvl w:val="0"/>
          <w:numId w:val="2"/>
        </w:numPr>
      </w:pPr>
      <w:r>
        <w:rPr>
          <w:rFonts w:ascii="Arial" w:eastAsia="Microsoft YaHei"/>
        </w:rPr>
        <w:t xml:space="preserve">权利要求4 中的英文术语 unknown 全部中文化为"判定环境标签为未知"，与"判定为阻断/告警/允许"统一以"判定为……"收尾；正文四态表仍保留 BLOCK/WARN/UNKNOWN/ALLOW 便于对照。</w:t>
      </w:r>
    </w:p>
    <w:p>
      <w:pPr>
        <w:pStyle w:val="ListParagraph"/>
        <w:numPr>
          <w:ilvl w:val="0"/>
          <w:numId w:val="2"/>
        </w:numPr>
      </w:pPr>
      <w:r>
        <w:rPr>
          <w:rFonts w:ascii="Arial" w:eastAsia="Microsoft YaHei"/>
        </w:rPr>
        <w:t xml:space="preserve">排版：权利要求段间距由 after=1、line=1.08 收紧至 after=0、line=1.00，以缓解权利要求18 单独成页；正式提交前请在 Word 中目视确认分页。附图与正文表格未变。</w:t>
      </w:r>
    </w:p>
    <w:p>
      <w:pPr>
        <w:pStyle w:val="Heading3"/>
      </w:pPr>
      <w:r>
        <w:rPr>
          <w:rFonts w:ascii="Arial" w:eastAsia="Microsoft YaHei"/>
        </w:rPr>
        <w:t xml:space="preserve">七、V10 相对 V9 的润色要点</w:t>
      </w:r>
    </w:p>
    <w:p>
      <w:pPr>
        <w:pStyle w:val="ListParagraph"/>
        <w:numPr>
          <w:ilvl w:val="0"/>
          <w:numId w:val="2"/>
        </w:numPr>
      </w:pPr>
      <w:r>
        <w:rPr>
          <w:rFonts w:ascii="Arial" w:eastAsia="Microsoft YaHei"/>
        </w:rPr>
        <w:t xml:space="preserve">四态名称排列全文统一为"阻断、告警、未知、允许"。术语解释、权利要求1、权利要求12 均已对齐；权利要求4 判定分支本身已按此顺序展开。</w:t>
      </w:r>
    </w:p>
    <w:p>
      <w:pPr>
        <w:pStyle w:val="ListParagraph"/>
        <w:numPr>
          <w:ilvl w:val="0"/>
          <w:numId w:val="2"/>
        </w:numPr>
      </w:pPr>
      <w:r>
        <w:rPr>
          <w:rFonts w:ascii="Arial" w:eastAsia="Microsoft YaHei"/>
        </w:rPr>
        <w:t xml:space="preserve">术语解释·四态判定首次出现时补齐中英文对照："阻断（BLOCK）、告警（WARN）、未知（UNKNOWN）或允许（ALLOW）"；正文四态表仍保留 BLOCK/WARN/UNKNOWN/ALLOW 便于对照。</w:t>
      </w:r>
    </w:p>
    <w:p>
      <w:pPr>
        <w:pStyle w:val="ListParagraph"/>
        <w:numPr>
          <w:ilvl w:val="0"/>
          <w:numId w:val="2"/>
        </w:numPr>
      </w:pPr>
      <w:r>
        <w:rPr>
          <w:rFonts w:ascii="Arial" w:eastAsia="Microsoft YaHei"/>
        </w:rPr>
        <w:t xml:space="preserve">权利要求12 分号后的第二个动作补齐主语："所述引用分析层用于执行……跨控制面引用图构建；所述引用分析层还用于依据部署目标环境……对每条引用边执行先匹配先定性的四态污染识别……"，避免正式权利要求出现主语省略。</w:t>
      </w:r>
    </w:p>
    <w:p>
      <w:pPr>
        <w:pStyle w:val="ListParagraph"/>
        <w:numPr>
          <w:ilvl w:val="0"/>
          <w:numId w:val="2"/>
        </w:numPr>
      </w:pPr>
      <w:r>
        <w:rPr>
          <w:rFonts w:ascii="Arial" w:eastAsia="Microsoft YaHei"/>
        </w:rPr>
        <w:t xml:space="preserve">排版·孤页：权利要求段落行距由 1.00 收紧至 0.95，段后间距保持 0，字号不变；用以把权利要求18 尾句"实现权利要求1至11任一项所述的方法。"收回第 10 页。最终以 Word 目视为准。</w:t>
      </w:r>
    </w:p>
    <w:p>
      <w:pPr>
        <w:pStyle w:val="ListParagraph"/>
        <w:numPr>
          <w:ilvl w:val="0"/>
          <w:numId w:val="2"/>
        </w:numPr>
      </w:pPr>
      <w:r>
        <w:rPr>
          <w:rFonts w:ascii="Arial" w:eastAsia="Microsoft YaHei"/>
        </w:rPr>
        <w:t xml:space="preserve">排版·表格跨页：所有表格正文行统一设置 </w:t>
      </w:r>
      <w:r>
        <w:rPr>
          <w:rFonts w:ascii="Consolas" w:cs="Consolas" w:eastAsia="Consolas" w:hAnsi="Consolas"/>
        </w:rPr>
        <w:t xml:space="preserve">w:cantSplit</w:t>
      </w:r>
      <w:r>
        <w:rPr>
          <w:rFonts w:ascii="Arial" w:eastAsia="Microsoft YaHei"/>
        </w:rPr>
        <w:t xml:space="preserve">（禁止跨页断行），消除第 3 页表头下因数据行跨页拆分造成的空白续行；表头 </w:t>
      </w:r>
      <w:r>
        <w:rPr>
          <w:rFonts w:ascii="Consolas" w:cs="Consolas" w:eastAsia="Consolas" w:hAnsi="Consolas"/>
        </w:rPr>
        <w:t xml:space="preserve">w:tblHeader</w:t>
      </w:r>
      <w:r>
        <w:rPr>
          <w:rFonts w:ascii="Arial" w:eastAsia="Microsoft YaHei"/>
        </w:rPr>
        <w:t xml:space="preserve"> 重复保持。</w:t>
      </w:r>
    </w:p>
    <w:p>
      <w:pPr>
        <w:pStyle w:val="ListParagraph"/>
        <w:numPr>
          <w:ilvl w:val="0"/>
          <w:numId w:val="2"/>
        </w:numPr>
      </w:pPr>
      <w:r>
        <w:rPr>
          <w:rFonts w:ascii="Arial" w:eastAsia="Microsoft YaHei"/>
        </w:rPr>
        <w:t xml:space="preserve">title</w:t>
      </w:r>
      <w:r>
        <w:rPr>
          <w:rFonts w:ascii="Arial" w:eastAsia="Microsoft YaHei"/>
          <w:i/>
          <w:iCs/>
        </w:rPr>
        <w:t xml:space="preserve">block 中无实际用途的"FAX: </w:t>
      </w:r>
      <w:r>
        <w:rPr>
          <w:rFonts w:ascii="Arial" w:eastAsia="Microsoft YaHei"/>
        </w:rPr>
        <w:t xml:space="preserve">_____"占位符已删除；页脚"内部技术资料"作为交底书内部标识保留，代理人在正式申请文件排版时会自行替换。</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eastAsia="Microsoft YaHei"/>
      <w:b/>
      <w:bCs/>
      <w:color w:val="000000"/>
      <w:sz w:val="32"/>
      <w:szCs w:val="32"/>
    </w:rPr>
  </w:style>
  <w:style w:type="paragraph" w:styleId="Heading2">
    <w:name w:val="Heading 2"/>
    <w:basedOn w:val="Normal"/>
    <w:next w:val="Normal"/>
    <w:qFormat/>
    <w:pPr>
      <w:spacing w:after="180" w:before="180"/>
      <w:outlineLvl w:val="1"/>
    </w:pPr>
    <w:rPr>
      <w:rFonts w:ascii="Arial" w:eastAsia="Microsoft YaHei"/>
      <w:b/>
      <w:bCs/>
      <w:color w:val="000000"/>
      <w:sz w:val="28"/>
      <w:szCs w:val="28"/>
    </w:rPr>
  </w:style>
  <w:style w:type="paragraph" w:styleId="Heading3">
    <w:name w:val="Heading 3"/>
    <w:basedOn w:val="Normal"/>
    <w:next w:val="Normal"/>
    <w:qFormat/>
    <w:pPr>
      <w:spacing w:after="120" w:before="120"/>
      <w:outlineLvl w:val="2"/>
    </w:pPr>
    <w:rPr>
      <w:rFonts w:ascii="Arial" w:eastAsia="Microsoft YaHei"/>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2026-10-12T09:47:44.753Z</dcterms:created>
  <dcterms:modified xsi:type="dcterms:W3CDTF">2026-10-12T09:47:44.753Z</dcterms:modified>
</cp:coreProperties>
</file>

<file path=docProps/custom.xml><?xml version="1.0" encoding="utf-8"?>
<Properties xmlns="http://schemas.openxmlformats.org/officeDocument/2006/custom-properties" xmlns:vt="http://schemas.openxmlformats.org/officeDocument/2006/docPropsVTypes"/>
</file>