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eastAsia="Microsoft YaHei"/>
        </w:rPr>
        <w:t xml:space="preserve">天策策略自动化配置 AI 基础建设方案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版本：v4.2  日期：2026-08-06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跑通天策策略自动化配置，客户需要以下四样：</w:t>
      </w:r>
      <w:r>
        <w:rPr>
          <w:rFonts w:ascii="Arial" w:eastAsia="Microsoft YaHei"/>
          <w:b/>
          <w:bCs/>
        </w:rPr>
        <w:t xml:space="preserve">服务器 + 加速卡 + 模型 + Agent</w:t>
      </w:r>
      <w:r>
        <w:rPr>
          <w:rFonts w:ascii="Arial" w:eastAsia="Microsoft YaHei"/>
        </w:rPr>
        <w:t xml:space="preserve">。</w:t>
      </w:r>
    </w:p>
    <w:p>
      <w:pPr>
        <w:pStyle w:val="Heading2"/>
      </w:pPr>
      <w:r>
        <w:rPr>
          <w:rFonts w:ascii="Arial" w:eastAsia="Microsoft YaHei"/>
        </w:rPr>
        <w:t xml:space="preserve">主推方案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rPr>
          <w:tblHeader/>
        </w:trP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项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信创路线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非信创路线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服务器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华鲲振宇鲲鹏服务器（2U 起）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x86 塔式工作站（Threadripper 或 Xeon）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加速卡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昇腾 910C 单卡（128GB HBM，2025 Q1 发布）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2× NVIDIA RTX5880 Ada 48GB（合计 96GB，通过 NVLink Bridge 或张量并行运行）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模型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Qwen3.6-35B-A3B（Apache 2.0 开源，MoE 架构，激活 3B/总参 35B）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同左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推理引擎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vLLM + vllm-ascend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vLLM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Agent 平台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TDForge（同盾自研桌面 Agent，原生兼容策略配置 Skill）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同左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Skill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10 个 tiance-* 策略配置 Skill（含元数据采集、字段、函数、规则、指标、策略等 8 层）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同左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部署形态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完全内网离线部署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同左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eastAsia="Microsoft YaHei"/>
        </w:rPr>
        <w:t xml:space="preserve">显存与性能说明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Qwen3.6-35B-A3B 虽然每次推理仅激活 3B 参数，但 MoE 权重须</w:t>
      </w:r>
      <w:r>
        <w:rPr>
          <w:rFonts w:ascii="Arial" w:eastAsia="Microsoft YaHei"/>
          <w:b/>
          <w:bCs/>
        </w:rPr>
        <w:t xml:space="preserve">全量加载</w:t>
      </w:r>
      <w:r>
        <w:rPr>
          <w:rFonts w:ascii="Arial" w:eastAsia="Microsoft YaHei"/>
        </w:rPr>
        <w:t xml:space="preserve">：权重理论值 35B × 2 bytes（FP16）≈ 70GB，加 embedding、激活、KV Cache（32K 上下文，单会话约 6-10GB）与 vLLM 引擎开销，单实例实际显存占用约 80-95GB。因此单卡 128GB HBM 的 910C 或 2× RTX5880 Ada（96GB，需张量并行且 KV Cache 受限）为门槛配置。</w:t>
      </w:r>
    </w:p>
    <w:p>
      <w:pPr>
        <w:pStyle w:val="Heading2"/>
      </w:pPr>
      <w:r>
        <w:rPr>
          <w:rFonts w:ascii="Arial" w:eastAsia="Microsoft YaHei"/>
        </w:rPr>
        <w:t xml:space="preserve">按需求切换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场景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换成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单次推理需更强的复杂推理能力（长链路 Groovy 生成、多步编排失败率高）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模型换 Qwen3.5-397B-A17B（MoE 397B/17B），硬件需信创 C/D 级别（8× 910C 或多机张量并行）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并发数不够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  <w:b/>
                <w:bCs/>
              </w:rPr>
              <w:t xml:space="preserve">同一模型加卡加副本 + 提升批处理</w:t>
            </w:r>
            <w:r>
              <w:rPr>
                <w:rFonts w:ascii="Arial" w:eastAsia="Microsoft YaHei"/>
              </w:rPr>
              <w:t xml:space="preserve">，不换模型（大模型只会更耗算力、并发反而下降）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未来需要模型微调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硬件升级至 Atlas 950 SuperPod 或多机 NPU 模组服务器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eastAsia="Microsoft YaHei"/>
        </w:rPr>
        <w:t xml:space="preserve">兼容矩阵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rPr>
          <w:tblHeader/>
        </w:trP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组件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信创版本要求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x86 版本要求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操作系统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openEuler 22.03 LTS SP3 及以上 或 麒麟 V10 SP3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Ubuntu 22.04 LTS 及以上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驱动栈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CANN 8.0 及以上 + Ascend Driver 25.x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NVIDIA Driver 550+ / CUDA 12.4+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推理引擎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vLLM 0.7+ · vllm-ascend 0.7+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vLLM 0.7+</w:t>
            </w:r>
          </w:p>
        </w:tc>
      </w:tr>
    </w:tbl>
    <w:p>
      <w:r>
        <w:t xml:space="preserve"/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具体版本以采购当期 vllm-ascend/Qwen 官方 support matrix 为准，PoC 阶段实测确认。</w:t>
      </w:r>
    </w:p>
    <w:p>
      <w:pPr>
        <w:pStyle w:val="Heading2"/>
      </w:pPr>
      <w:r>
        <w:rPr>
          <w:rFonts w:ascii="Arial" w:eastAsia="Microsoft YaHei"/>
        </w:rPr>
        <w:t xml:space="preserve">Agent 平台边界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TDForge 定位为</w:t>
      </w:r>
      <w:r>
        <w:rPr>
          <w:rFonts w:ascii="Arial" w:eastAsia="Microsoft YaHei"/>
          <w:b/>
          <w:bCs/>
        </w:rPr>
        <w:t xml:space="preserve">桌面单人 Agent</w:t>
      </w:r>
      <w:r>
        <w:rPr>
          <w:rFonts w:ascii="Arial" w:eastAsia="Microsoft YaHei"/>
        </w:rPr>
        <w:t xml:space="preserve">，PoC 与小规模日常使用足够；生产化后若客户需要多用户共用、RBAC 权限、审批流程、Web 化访问、集中审计，可迁移至 Dify + DeerFlow（Web 化多用户 Agent 平台）。核心 Skill 逻辑（10 个 tiance-* Skill）在两个平台可复用，主要迁移工作是 Agent 编排壳、浏览器自动化接入方式（TDForge 内置 Chrome CDP，Dify 需集成 Playwright）与用户会话持久化机制。</w:t>
      </w:r>
    </w:p>
    <w:p>
      <w:pPr>
        <w:pStyle w:val="Heading2"/>
      </w:pPr>
      <w:r>
        <w:rPr>
          <w:rFonts w:ascii="Arial" w:eastAsia="Microsoft YaHei"/>
        </w:rPr>
        <w:t xml:space="preserve">说明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首选卡 Ascend 910C（128GB HBM）性能远超上一代 Atlas 300I Duo；若客户渠道暂时拿不到 910C，可用 Atlas 300I Duo 96GB 单卡跑 PoC，但生产建议直接上 910C 或更新款。具体服务器型号请客户找华鲲振宇、长虹佳华等鲲鹏 OEM 渠道，非信创 x86 方案可找亘数或同类工作站厂商。</w:t>
      </w:r>
    </w:p>
    <w:p>
      <w:pPr>
        <w:pStyle w:val="Heading2"/>
      </w:pPr>
      <w:r>
        <w:rPr>
          <w:rFonts w:ascii="Arial" w:eastAsia="Microsoft YaHei"/>
        </w:rPr>
        <w:t xml:space="preserve">参考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huggingface.co/Qwen/Qwen3.6-35B-A3B · huggingface.co/Qwen/Qwen3.5-397B-A17B · github.com/vllm-project/vllm-ascend · e.huawei.com/cn/products/computing/ascend。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icrosoft YaHei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Arial" w:eastAsia="Microsoft YaHei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80" w:before="180"/>
      <w:outlineLvl w:val="1"/>
    </w:pPr>
    <w:rPr>
      <w:rFonts w:ascii="Arial" w:eastAsia="Microsoft YaHei"/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120"/>
      <w:outlineLvl w:val="2"/>
    </w:pPr>
    <w:rPr>
      <w:rFonts w:ascii="Arial" w:eastAsia="Microsoft YaHei"/>
      <w:b/>
      <w:bCs/>
      <w:color w:val="00000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2026-08-06T07:28:02.079Z</dcterms:created>
  <dcterms:modified xsi:type="dcterms:W3CDTF">2026-08-06T07:28:02.079Z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