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版本：v4.4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华鲲振宇 AT9508 G3 4U 服务器（5 卡位，先装 1 张，PCIe/电源/散热按满配预留）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塔式工作站（Threadripper 或 Xeon，机箱至少 3 卡位、电源 2000W）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昇腾 910C 单卡（128GB HBM，2025 Q1 发布）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NVIDIA RTX5880 Ada 48GB（合计 96GB，通过 NVLink Bridge 或张量并行运行）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 开源，MoE 架构，激活 3B/总参 35B）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vllm-ascend（暴露 OpenAI 兼容 API，Agent 通过 endpoint 接入，模型服务与 Agent 解耦）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vLLM（同左，模型服务与 Agent 解耦）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Skill（含元数据采集、字段、函数、规则、指标、策略等 8 层）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25G/100G 网卡预留，支持后续多机张量并行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Qwen3.6-35B-A3B 虽然每次推理仅激活 3B 参数，但 MoE 权重须</w:t>
      </w:r>
      <w:r>
        <w:rPr>
          <w:rFonts w:ascii="Arial" w:eastAsia="Microsoft YaHei"/>
          <w:b/>
          <w:bCs/>
        </w:rPr>
        <w:t xml:space="preserve">全量加载</w:t>
      </w:r>
      <w:r>
        <w:rPr>
          <w:rFonts w:ascii="Arial" w:eastAsia="Microsoft YaHei"/>
        </w:rPr>
        <w:t xml:space="preserve">：权重理论值 35B × 2 bytes（FP16）≈ 70GB，加 embedding、激活、KV Cache（32K 上下文，单会话约 6-10GB）与 vLLM 引擎开销，单实例实际显存占用约 80-95GB。因此单卡 128GB HBM 的 910C 或 2× RTX5880 Ada（96GB，需张量并行且 KV Cache 受限）为门槛配置。</w:t>
      </w:r>
    </w:p>
    <w:p>
      <w:pPr>
        <w:pStyle w:val="Heading2"/>
      </w:pPr>
      <w:r>
        <w:rPr>
          <w:rFonts w:ascii="Arial" w:eastAsia="Microsoft YaHei"/>
        </w:rPr>
        <w:t xml:space="preserve">按需求切换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换成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单次推理需更强的复杂推理能力（长链路 Groovy 生成、多步编排失败率高）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模型换 Qwen3.5-397B-A17B（MoE 397B/17B），加卡至 5-8× 910C 张量并行（AT9508 G3 机箱直接扩，无需换机）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同一模型加卡加副本 + 提升批处理</w:t>
            </w:r>
            <w:r>
              <w:rPr>
                <w:rFonts w:ascii="Arial" w:eastAsia="Microsoft YaHei"/>
              </w:rPr>
              <w:t xml:space="preserve">，不换模型（大模型只会更耗算力、并发反而下降）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未来需要模型微调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硬件升级至 Atlas 800 A2/A3（华为官方 Qwen3.6 微调参考部署）或多机 NPU 模组服务器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 权重开源后（阿里已公告下周开源）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可评估升级；但该模型 2.4T 总参、INT4 量化仍需约 1.2TB 显存，属</w:t>
            </w:r>
            <w:r>
              <w:rPr>
                <w:rFonts w:ascii="Arial" w:eastAsia="Microsoft YaHei"/>
                <w:b/>
                <w:bCs/>
              </w:rPr>
              <w:t xml:space="preserve">集群级独立立项</w:t>
            </w:r>
            <w:r>
              <w:rPr>
                <w:rFonts w:ascii="Arial" w:eastAsia="Microsoft YaHei"/>
              </w:rPr>
              <w:t xml:space="preserve">，非本方案扩容范围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及以上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 及以上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 及以上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0.18+（v0.18.0 起官方支持 Qwen3.6-35B-A3B）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</w:t>
      </w:r>
    </w:p>
    <w:p>
      <w:pPr>
        <w:pStyle w:val="Heading2"/>
      </w:pPr>
      <w:r>
        <w:rPr>
          <w:rFonts w:ascii="Arial" w:eastAsia="Microsoft YaHei"/>
        </w:rPr>
        <w:t xml:space="preserve">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服务器机箱</w:t>
      </w:r>
      <w:r>
        <w:rPr>
          <w:rFonts w:ascii="Arial" w:eastAsia="Microsoft YaHei"/>
          <w:b/>
          <w:bCs/>
        </w:rPr>
        <w:t xml:space="preserve">直接选可扩展款</w:t>
      </w:r>
      <w:r>
        <w:rPr>
          <w:rFonts w:ascii="Arial" w:eastAsia="Microsoft YaHei"/>
        </w:rPr>
        <w:t xml:space="preserve">（信创侧 AT9508 G3 5 卡位、x86 侧 3 卡位塔式），先装门槛配置跑 PoC，未来加卡扩容不用换机器；电源、散热、网络按满配预留成本可控但收益大。首选卡 Ascend 910C（128GB HBM）性能远超上一代 Atlas 300I Duo；若客户渠道暂时拿不到 910C，可用 Atlas 300I Duo 96GB 单卡跑 PoC，但生产建议直接上 910C 或更新款（Atlas 350/950PR 已上市）。具体服务器型号请客户找华鲲振宇、长虹佳华等鲲鹏 OEM 渠道，非信创 x86 方案可找亘数或同类工作站厂商。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huggingface.co/Qwen/Qwen3.5-397B-A17B · github.com/vllm-project/vllm-ascend · e.huawei.com/cn/products/computing/ascend · docs.vllm.ai（vLLM OpenAI 兼容 API 规范，用于 Agent 与模型服务解耦）。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2026-08-06T07:53:48.291Z</dcterms:created>
  <dcterms:modified xsi:type="dcterms:W3CDTF">2026-08-06T07:53:48.292Z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