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h）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i）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j）架构感知生成：在用例生成前，首先对策略的整体架构进行自动探测，区分两类典型架构并采用不同的生成策略——（j-1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j-2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80" w:lineRule="atLeast"/>
        <w:jc w:val="center"/>
      </w:pPr>
      <w:r>
        <w:drawing>
          <wp:inline distT="0" distB="0" distL="0" distR="0">
            <wp:extent cx="3810000" cy="41148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148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6160" w:lineRule="atLeast"/>
        <w:jc w:val="center"/>
      </w:pPr>
      <w:r>
        <w:drawing>
          <wp:inline distT="0" distB="0" distL="0" distR="0">
            <wp:extent cx="3810000" cy="36576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6576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6fd156e03fbcac011fb5aa7fb71b63e9f740ef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2026-07-17T07:42:37.836Z</dcterms:created>
  <dcterms:modified xsi:type="dcterms:W3CDTF">2026-07-17T07:42:37.840Z</dcterms:modified>
</cp:coreProperties>
</file>

<file path=docProps/custom.xml><?xml version="1.0" encoding="utf-8"?>
<Properties xmlns="http://schemas.openxmlformats.org/officeDocument/2006/custom-properties" xmlns:vt="http://schemas.openxmlformats.org/officeDocument/2006/docPropsVTypes"/>
</file>