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eastAsia="Microsoft YaHei"/>
        </w:rPr>
        <w:t xml:space="preserve">天策策略自动化配置 AI 基础建设方案</w:t>
      </w:r>
    </w:p>
    <w:p>
      <w:pPr>
        <w:spacing w:after="120" w:line="360" w:lineRule="auto"/>
        <w:ind w:firstLine="480"/>
      </w:pPr>
      <w:r>
        <w:rPr>
          <w:rFonts w:ascii="Arial" w:eastAsia="Microsoft YaHei"/>
        </w:rPr>
        <w:t xml:space="preserve">版本：v2.3  编制日期：2026-08-06  状态：草案（含真实渠道询价，vLLM Ascend 兼容性仍须实机验证）</w:t>
      </w:r>
    </w:p>
    <w:p>
      <w:pPr>
        <w:pStyle w:val="Heading2"/>
      </w:pPr>
      <w:r>
        <w:rPr>
          <w:rFonts w:ascii="Arial" w:eastAsia="Microsoft YaHei"/>
        </w:rPr>
        <w:t xml:space="preserve">决策摘要</w:t>
      </w:r>
    </w:p>
    <w:p>
      <w:pPr>
        <w:spacing w:after="120" w:line="360" w:lineRule="auto"/>
        <w:ind w:firstLine="480"/>
      </w:pPr>
      <w:r>
        <w:rPr>
          <w:rFonts w:ascii="Arial" w:eastAsia="Microsoft YaHei"/>
        </w:rPr>
        <w:t xml:space="preserve">本方案为客户从零搭建天策策略自动化配置所需的离线 AI 运行环境，一体化交付算力硬件、大语言模型、推理引擎、Agent 平台和 Skill 工具包，完全内网隔离部署。</w:t>
      </w:r>
    </w:p>
    <w:p>
      <w:pPr>
        <w:spacing w:after="120" w:line="360" w:lineRule="auto"/>
        <w:ind w:firstLine="480"/>
      </w:pPr>
      <w:r>
        <w:rPr>
          <w:rFonts w:ascii="Arial" w:eastAsia="Microsoft YaHei"/>
        </w:rPr>
        <w:t xml:space="preserve">推荐配置：信创路线首选 </w:t>
      </w:r>
      <w:r>
        <w:rPr>
          <w:rFonts w:ascii="Arial" w:eastAsia="Microsoft YaHei"/>
          <w:b/>
          <w:bCs/>
        </w:rPr>
        <w:t xml:space="preserve">华鲲振宇 AT800 Model 3000 + 1× Atlas 300I Duo 96GB</w:t>
      </w:r>
      <w:r>
        <w:rPr>
          <w:rFonts w:ascii="Arial" w:eastAsia="Microsoft YaHei"/>
        </w:rPr>
        <w:t xml:space="preserve">（含税约 15 万）用于 PoC，生产阶段升级至 </w:t>
      </w:r>
      <w:r>
        <w:rPr>
          <w:rFonts w:ascii="Arial" w:eastAsia="Microsoft YaHei"/>
          <w:b/>
          <w:bCs/>
        </w:rPr>
        <w:t xml:space="preserve">AT9508 G3 + 5× Atlas 300I Duo 480GB</w:t>
      </w:r>
      <w:r>
        <w:rPr>
          <w:rFonts w:ascii="Arial" w:eastAsia="Microsoft YaHei"/>
        </w:rPr>
        <w:t xml:space="preserve">（含税约 27 万）；x86 路线首选 </w:t>
      </w:r>
      <w:r>
        <w:rPr>
          <w:rFonts w:ascii="Arial" w:eastAsia="Microsoft YaHei"/>
          <w:b/>
          <w:bCs/>
        </w:rPr>
        <w:t xml:space="preserve">亘数塔式 + 2× RTX5880 Ada 96GB</w:t>
      </w:r>
      <w:r>
        <w:rPr>
          <w:rFonts w:ascii="Arial" w:eastAsia="Microsoft YaHei"/>
        </w:rPr>
        <w:t xml:space="preserve">（含税约 20.6 万）。主选模型 </w:t>
      </w:r>
      <w:r>
        <w:rPr>
          <w:rFonts w:ascii="Arial" w:eastAsia="Microsoft YaHei"/>
          <w:b/>
          <w:bCs/>
        </w:rPr>
        <w:t xml:space="preserve">Qwen3-30B-A3B</w:t>
      </w:r>
      <w:r>
        <w:rPr>
          <w:rFonts w:ascii="Arial" w:eastAsia="Microsoft YaHei"/>
        </w:rPr>
        <w:t xml:space="preserve">（MoE，激活 3B），进阶备选 </w:t>
      </w:r>
      <w:r>
        <w:rPr>
          <w:rFonts w:ascii="Arial" w:eastAsia="Microsoft YaHei"/>
          <w:b/>
          <w:bCs/>
        </w:rPr>
        <w:t xml:space="preserve">Qwen3-Next-80B-A3B</w:t>
      </w:r>
      <w:r>
        <w:rPr>
          <w:rFonts w:ascii="Arial" w:eastAsia="Microsoft YaHei"/>
        </w:rPr>
        <w:t xml:space="preserve">（原生 256K 上下文），推理引擎 vLLM。PoC 阶段使用 TDForge 桌面 Agent，生产阶段迁移至 Dify 服务化方案。预计实施周期 16-20 周。</w:t>
      </w:r>
    </w:p>
    <w:p>
      <w:pPr>
        <w:spacing w:after="120" w:line="360" w:lineRule="auto"/>
        <w:ind w:firstLine="480"/>
      </w:pPr>
      <w:r>
        <w:rPr>
          <w:rFonts w:ascii="Arial" w:eastAsia="Microsoft YaHei"/>
        </w:rPr>
        <w:t xml:space="preserve">重要前提：模型均为 Qwen 官方 Apache 2.0 权重，可离线部署；硬件与推理引擎兼容性须在 PoC 阶段完成 (1) vLLM Ascend 在目标 NPU 上的实机推理验证（Atlas 300I Duo 支持等级须以 vllm-ascend 官方 support matrix 最新版本为准）；(2) Qwen3-30B-A3B 与 Qwen3-Next-80B-A3B 在目标硬件上的 FP16/INT8 推理质量评测；(3) Agent 与天策平台端到端联调。</w:t>
      </w:r>
    </w:p>
    <w:p>
      <w:pPr>
        <w:pStyle w:val="Heading2"/>
      </w:pPr>
      <w:r>
        <w:rPr>
          <w:rFonts w:ascii="Arial" w:eastAsia="Microsoft YaHei"/>
        </w:rPr>
        <w:t xml:space="preserve">背景与能力依赖</w:t>
      </w:r>
    </w:p>
    <w:p>
      <w:pPr>
        <w:spacing w:after="120" w:line="360" w:lineRule="auto"/>
        <w:ind w:firstLine="480"/>
      </w:pPr>
      <w:r>
        <w:rPr>
          <w:rFonts w:ascii="Arial" w:eastAsia="Microsoft YaHei"/>
        </w:rPr>
        <w:t xml:space="preserve">策略自动化配置已通过 AI Agent + Skill 流水线实现从元数据采集到策略部署的全链路自动化（覆盖 8 层配置层级），但依赖完善的 AI 基础设施。当前客户 AI 建设为零，需要从零搭建离线运行环境。</w:t>
      </w:r>
    </w:p>
    <w:p>
      <w:pPr>
        <w:spacing w:after="120" w:line="360" w:lineRule="auto"/>
        <w:ind w:firstLine="480"/>
      </w:pPr>
      <w:r>
        <w:rPr>
          <w:rFonts w:ascii="Arial" w:eastAsia="Microsoft YaHei"/>
        </w:rPr>
        <w:t xml:space="preserve">流水线的核心依赖：(1) LLM 推理——所有 Skill 采用 LLM-as-Agent 架构，LLM 负责语义解析、代码生成和编排决策；(2) 浏览器自动化——元数据采集和组件导入依赖 Chrome CDP；(3) Agent 框架——调度 10 个 Skill 的 8 层依赖链，要求多 Skill 路由、子任务并行和会话持久化。</w:t>
      </w:r>
    </w:p>
    <w:p>
      <w:pPr>
        <w:pStyle w:val="Heading2"/>
      </w:pPr>
      <w:r>
        <w:rPr>
          <w:rFonts w:ascii="Arial" w:eastAsia="Microsoft YaHei"/>
        </w:rPr>
        <w:t xml:space="preserve">整体架构与交付清单</w:t>
      </w:r>
    </w:p>
    <w:p>
      <w:pPr>
        <w:spacing w:after="120" w:line="360" w:lineRule="auto"/>
        <w:ind w:firstLine="480"/>
      </w:pPr>
      <w:r>
        <w:rPr>
          <w:rFonts w:ascii="Arial" w:eastAsia="Microsoft YaHei"/>
        </w:rPr>
        <w:t xml:space="preserve">五层架构：算力层 → 模型服务层 → 平台能力层 → Agent 平台层 → Skill 应用层。</w:t>
      </w:r>
    </w:p>
    <w:p>
      <w:pPr>
        <w:shd w:fill="F2F2F2" w:val="clear"/>
      </w:pPr>
      <w:r>
        <w:rPr>
          <w:rFonts w:ascii="Consolas" w:cs="Consolas" w:eastAsia="Consolas" w:hAnsi="Consolas"/>
          <w:sz w:val="20"/>
          <w:szCs w:val="20"/>
        </w:rPr>
        <w:t xml:space="preserve">┌──────────────────────────────────────────────────────┐</w:t>
      </w:r>
    </w:p>
    <w:p>
      <w:pPr>
        <w:shd w:fill="F2F2F2" w:val="clear"/>
      </w:pPr>
      <w:r>
        <w:rPr>
          <w:rFonts w:ascii="Consolas" w:cs="Consolas" w:eastAsia="Consolas" w:hAnsi="Consolas"/>
          <w:sz w:val="20"/>
          <w:szCs w:val="20"/>
        </w:rPr>
        <w:t xml:space="preserve">│  Skill 应用层（10 个策略配置 Skill，8 层流水线）      │</w:t>
      </w:r>
    </w:p>
    <w:p>
      <w:pPr>
        <w:shd w:fill="F2F2F2" w:val="clear"/>
      </w:pPr>
      <w:r>
        <w:rPr>
          <w:rFonts w:ascii="Consolas" w:cs="Consolas" w:eastAsia="Consolas" w:hAnsi="Consolas"/>
          <w:sz w:val="20"/>
          <w:szCs w:val="20"/>
        </w:rPr>
        <w:t xml:space="preserve">├──────────────────────────────────────────────────────┤</w:t>
      </w:r>
    </w:p>
    <w:p>
      <w:pPr>
        <w:shd w:fill="F2F2F2" w:val="clear"/>
      </w:pPr>
      <w:r>
        <w:rPr>
          <w:rFonts w:ascii="Consolas" w:cs="Consolas" w:eastAsia="Consolas" w:hAnsi="Consolas"/>
          <w:sz w:val="20"/>
          <w:szCs w:val="20"/>
        </w:rPr>
        <w:t xml:space="preserve">│  Agent 平台层（TDForge/Dify + Chrome CDP 安全隔离）   │</w:t>
      </w:r>
    </w:p>
    <w:p>
      <w:pPr>
        <w:shd w:fill="F2F2F2" w:val="clear"/>
      </w:pPr>
      <w:r>
        <w:rPr>
          <w:rFonts w:ascii="Consolas" w:cs="Consolas" w:eastAsia="Consolas" w:hAnsi="Consolas"/>
          <w:sz w:val="20"/>
          <w:szCs w:val="20"/>
        </w:rPr>
        <w:t xml:space="preserve">├──────────────────────────────────────────────────────┤</w:t>
      </w:r>
    </w:p>
    <w:p>
      <w:pPr>
        <w:shd w:fill="F2F2F2" w:val="clear"/>
      </w:pPr>
      <w:r>
        <w:rPr>
          <w:rFonts w:ascii="Consolas" w:cs="Consolas" w:eastAsia="Consolas" w:hAnsi="Consolas"/>
          <w:sz w:val="20"/>
          <w:szCs w:val="20"/>
        </w:rPr>
        <w:t xml:space="preserve">│  平台能力层（网关鉴权 · 版本管理 · 评测回归 · Trace · │</w:t>
      </w:r>
    </w:p>
    <w:p>
      <w:pPr>
        <w:shd w:fill="F2F2F2" w:val="clear"/>
      </w:pPr>
      <w:r>
        <w:rPr>
          <w:rFonts w:ascii="Consolas" w:cs="Consolas" w:eastAsia="Consolas" w:hAnsi="Consolas"/>
          <w:sz w:val="20"/>
          <w:szCs w:val="20"/>
        </w:rPr>
        <w:t xml:space="preserve">│              RBAC · 审计日志 · 元数据知识库）          │</w:t>
      </w:r>
    </w:p>
    <w:p>
      <w:pPr>
        <w:shd w:fill="F2F2F2" w:val="clear"/>
      </w:pPr>
      <w:r>
        <w:rPr>
          <w:rFonts w:ascii="Consolas" w:cs="Consolas" w:eastAsia="Consolas" w:hAnsi="Consolas"/>
          <w:sz w:val="20"/>
          <w:szCs w:val="20"/>
        </w:rPr>
        <w:t xml:space="preserve">├──────────────────────────────────────────────────────┤</w:t>
      </w:r>
    </w:p>
    <w:p>
      <w:pPr>
        <w:shd w:fill="F2F2F2" w:val="clear"/>
      </w:pPr>
      <w:r>
        <w:rPr>
          <w:rFonts w:ascii="Consolas" w:cs="Consolas" w:eastAsia="Consolas" w:hAnsi="Consolas"/>
          <w:sz w:val="20"/>
          <w:szCs w:val="20"/>
        </w:rPr>
        <w:t xml:space="preserve">│  模型服务层（vLLM → OpenAI API · Qwen3-30B-A3B）     │</w:t>
      </w:r>
    </w:p>
    <w:p>
      <w:pPr>
        <w:shd w:fill="F2F2F2" w:val="clear"/>
      </w:pPr>
      <w:r>
        <w:rPr>
          <w:rFonts w:ascii="Consolas" w:cs="Consolas" w:eastAsia="Consolas" w:hAnsi="Consolas"/>
          <w:sz w:val="20"/>
          <w:szCs w:val="20"/>
        </w:rPr>
        <w:t xml:space="preserve">├──────────────────────────────────────────────────────┤</w:t>
      </w:r>
    </w:p>
    <w:p>
      <w:pPr>
        <w:shd w:fill="F2F2F2" w:val="clear"/>
      </w:pPr>
      <w:r>
        <w:rPr>
          <w:rFonts w:ascii="Consolas" w:cs="Consolas" w:eastAsia="Consolas" w:hAnsi="Consolas"/>
          <w:sz w:val="20"/>
          <w:szCs w:val="20"/>
        </w:rPr>
        <w:t xml:space="preserve">│  算力层（华鲲振宇 AT800/AT9508 / 亘数 RTX5880 Ada）    │</w:t>
      </w:r>
    </w:p>
    <w:p>
      <w:pPr>
        <w:shd w:fill="F2F2F2" w:val="clear"/>
      </w:pPr>
      <w:r>
        <w:rPr>
          <w:rFonts w:ascii="Consolas" w:cs="Consolas" w:eastAsia="Consolas" w:hAnsi="Consolas"/>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交付类别</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交付内容</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说明</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算力硬件</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华鲲振宇鲲鹏+昇腾 或 亘数 x86+NVIDIA 工作站</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含 OS、CANN/CUDA 驱动、Docker</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推理引擎</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vLLM Docker 镜像 + Qwen3-30B-A3B 权重</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OpenAI 兼容 API，开机自启</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平台能力层</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模型网关 + 评测回归 + Trace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离线部署</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Agent 平台</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TDForge（PoC）/ Dify（生产）</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含 Python 3.12 和全部依赖</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Skill 工具包</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10 个策略配置 Skill</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预装到 Agent Skill 目录</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浏览器环境</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Chrome + CDP 安全配置</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仅 127.0.0.1，含审计日志</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离线部署包</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模型、Docker 镜像、npm/pip 包</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SHA-256 + SBOM</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运维文档</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部署/安全/排障手册 + 评测数据集</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中文</w:t>
            </w:r>
          </w:p>
        </w:tc>
      </w:tr>
    </w:tbl>
    <w:p>
      <w:r>
        <w:t xml:space="preserve"/>
      </w:r>
    </w:p>
    <w:p>
      <w:pPr>
        <w:pStyle w:val="Heading2"/>
      </w:pPr>
      <w:r>
        <w:rPr>
          <w:rFonts w:ascii="Arial" w:eastAsia="Microsoft YaHei"/>
        </w:rPr>
        <w:t xml:space="preserve">算力层设计</w:t>
      </w:r>
    </w:p>
    <w:p>
      <w:pPr>
        <w:pStyle w:val="Heading3"/>
      </w:pPr>
      <w:r>
        <w:rPr>
          <w:rFonts w:ascii="Arial" w:eastAsia="Microsoft YaHei"/>
        </w:rPr>
        <w:t xml:space="preserve">显存需求</w:t>
      </w:r>
    </w:p>
    <w:p>
      <w:pPr>
        <w:spacing w:after="120" w:line="360" w:lineRule="auto"/>
        <w:ind w:firstLine="480"/>
      </w:pPr>
      <w:r>
        <w:rPr>
          <w:rFonts w:ascii="Arial" w:eastAsia="Microsoft YaHei"/>
        </w:rPr>
        <w:t xml:space="preserve">Qwen3-30B-A3B 虽然每次推理仅激活 3B 参数，但 MoE 权重须全量加载：权重理论值 30B × 2 bytes（FP16）≈ 60GB，加 embedding/激活/KV Cache 实际占用约 65-75GB。因此 96GB 显存卡（Atlas 300I Duo 单卡 / 2×RTX5880 Ada）容量宽裕。INT8 量化可降至约 30GB（48GB 单卡可运行），但须评测量化对代码生成质量的影响。</w:t>
      </w:r>
    </w:p>
    <w:p>
      <w:pPr>
        <w:spacing w:after="120" w:line="360" w:lineRule="auto"/>
        <w:ind w:firstLine="480"/>
      </w:pPr>
      <w:r>
        <w:rPr>
          <w:rFonts w:ascii="Arial" w:eastAsia="Microsoft YaHei"/>
        </w:rPr>
        <w:t xml:space="preserve">进阶备选 Qwen3-Next-80B-A3B：FP16 权重约 160GB，需 2× Atlas 300I Duo 或 2× RTX5880 Ada 张量并行；INT8 量化后约 80GB，96GB 单卡可跑但 KV Cache 空间紧张，256K 长上下文场景建议使用张量并行（5× 300I Duo 或 3× RTX5880 Ada）。原生支持 256K 上下文（可通过 YaRN 扩展至约 1M，扩展模式质量下降需 PoC 验证），解决 50-200KB 元数据长上下文场景。</w:t>
      </w:r>
    </w:p>
    <w:p>
      <w:pPr>
        <w:pStyle w:val="Heading3"/>
      </w:pPr>
      <w:r>
        <w:rPr>
          <w:rFonts w:ascii="Arial" w:eastAsia="Microsoft YaHei"/>
        </w:rPr>
        <w:t xml:space="preserve">硬件选型（含税询价，2026-03 数据）</w:t>
      </w:r>
    </w:p>
    <w:p>
      <w:pPr>
        <w:spacing w:after="120" w:line="360" w:lineRule="auto"/>
        <w:ind w:firstLine="480"/>
      </w:pPr>
      <w:r>
        <w:rPr>
          <w:rFonts w:ascii="Arial" w:eastAsia="Microsoft YaHei"/>
          <w:b/>
          <w:bCs/>
        </w:rPr>
        <w:t xml:space="preserve">路线一：华鲲振宇鲲鹏 + 昇腾（信创合规，推荐）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配置</w:t>
            </w:r>
          </w:p>
        </w:tc>
        <w:tc>
          <w:tcPr>
            <w:tcW w:type="dxa" w:w="1504"/>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服务器型号</w:t>
            </w:r>
          </w:p>
        </w:tc>
        <w:tc>
          <w:tcPr>
            <w:tcW w:type="dxa" w:w="1504"/>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加速卡</w:t>
            </w:r>
          </w:p>
        </w:tc>
        <w:tc>
          <w:tcPr>
            <w:tcW w:type="dxa" w:w="1504"/>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显存</w:t>
            </w:r>
          </w:p>
        </w:tc>
        <w:tc>
          <w:tcPr>
            <w:tcW w:type="dxa" w:w="1504"/>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单节点含税价</w:t>
            </w:r>
          </w:p>
        </w:tc>
        <w:tc>
          <w:tcPr>
            <w:tcW w:type="dxa" w:w="1504"/>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适用场景</w:t>
            </w:r>
          </w:p>
        </w:tc>
      </w:tr>
      <w:tr>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信创 A</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华鲲振宇 AT800 Model 3000（2U）</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 Atlas 300I Duo</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96GB</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¥150,000</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PoC 主推，Qwen3-30B-A3B FP16</w:t>
            </w:r>
          </w:p>
        </w:tc>
      </w:tr>
      <w:tr>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信创 B</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华鲲振宇 AT9508 G3（4U）</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5× Atlas 300I Duo</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480GB</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¥270,000</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生产主推，Qwen3-Next-80B-A3B 张量并行</w:t>
            </w:r>
          </w:p>
        </w:tc>
      </w:tr>
      <w:tr>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信创 C</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kunlunG5580（4U）</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8× 昇腾 910B4（Atlas 300I A2 64G）</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512GB</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¥628,500</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大规模推理 / 多路并发</w:t>
            </w:r>
          </w:p>
        </w:tc>
      </w:tr>
      <w:tr>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信创 D</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华为 NPU 模组服务器</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8× 昇腾 910B4（2.2P FP16）</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512GB</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¥866,000</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顶配，支持训练+推理，未来微调必备</w:t>
            </w:r>
          </w:p>
        </w:tc>
      </w:tr>
    </w:tbl>
    <w:p>
      <w:r>
        <w:t xml:space="preserve"/>
      </w:r>
    </w:p>
    <w:p>
      <w:pPr>
        <w:spacing w:after="120" w:line="360" w:lineRule="auto"/>
        <w:ind w:firstLine="480"/>
      </w:pPr>
      <w:r>
        <w:rPr>
          <w:rFonts w:ascii="Arial" w:eastAsia="Microsoft YaHei"/>
        </w:rPr>
        <w:t xml:space="preserve">注意事项：(1) 华鲲振宇 TG225 B1 系列所配的 Atlas 300V / 300V Pro 是视频分析卡，不在 vLLM Ascend 支持矩阵中（来源：github.com/vllm-project/vllm-ascend），不用于 LLM 推理，已从本方案排除；(2) Atlas 300I Duo 在 vllm-ascend 中的具体支持等级须以官方 support matrix 最新版本为准，PoC 阶段实测；(3) 910B4 系列（含 Atlas 300I A2）为训练+推理双用卡，性能远超 300I Duo，若客户后续有模型微调或大模型部署需求，建议直接投资信创 C/D。</w:t>
      </w:r>
    </w:p>
    <w:p>
      <w:pPr>
        <w:spacing w:after="120" w:line="360" w:lineRule="auto"/>
        <w:ind w:firstLine="480"/>
      </w:pPr>
      <w:r>
        <w:rPr>
          <w:rFonts w:ascii="Arial" w:eastAsia="Microsoft YaHei"/>
          <w:b/>
          <w:bCs/>
        </w:rPr>
        <w:t xml:space="preserve">路线二：亘数 x86 塔式工作站 + NVIDIA（开发便捷，非信创场景）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配置</w:t>
            </w:r>
          </w:p>
        </w:tc>
        <w:tc>
          <w:tcPr>
            <w:tcW w:type="dxa" w:w="1504"/>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CPU</w:t>
            </w:r>
          </w:p>
        </w:tc>
        <w:tc>
          <w:tcPr>
            <w:tcW w:type="dxa" w:w="1504"/>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显卡</w:t>
            </w:r>
          </w:p>
        </w:tc>
        <w:tc>
          <w:tcPr>
            <w:tcW w:type="dxa" w:w="1504"/>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显存</w:t>
            </w:r>
          </w:p>
        </w:tc>
        <w:tc>
          <w:tcPr>
            <w:tcW w:type="dxa" w:w="1504"/>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单节点含税价</w:t>
            </w:r>
          </w:p>
        </w:tc>
        <w:tc>
          <w:tcPr>
            <w:tcW w:type="dxa" w:w="1504"/>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适用场景</w:t>
            </w:r>
          </w:p>
        </w:tc>
      </w:tr>
      <w:tr>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x86 A</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Intel Core Ultra 9 285K</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 RTX5880 Ada</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48GB</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¥83,900</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开发调试，Qwen3-30B-A3B INT8</w:t>
            </w:r>
          </w:p>
        </w:tc>
      </w:tr>
      <w:tr>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x86 B</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AMD Threadripper 7970X</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2× RTX5880 Ada</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96GB</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¥206,000</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PoC 主推，Qwen3-30B-A3B FP16</w:t>
            </w:r>
          </w:p>
        </w:tc>
      </w:tr>
      <w:tr>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x86 C</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AMD Threadripper 7970X</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3× RTX5880 Ada</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144GB</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¥258,000</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生产主推，Qwen3-Next-80B-A3B</w:t>
            </w:r>
          </w:p>
        </w:tc>
      </w:tr>
    </w:tbl>
    <w:p>
      <w:r>
        <w:t xml:space="preserve"/>
      </w:r>
    </w:p>
    <w:p>
      <w:pPr>
        <w:spacing w:after="120" w:line="360" w:lineRule="auto"/>
        <w:ind w:firstLine="480"/>
      </w:pPr>
      <w:r>
        <w:rPr>
          <w:rFonts w:ascii="Arial" w:eastAsia="Microsoft YaHei"/>
        </w:rPr>
        <w:t xml:space="preserve">综合推荐：信创立项 → 信创 A（¥15 万）跑 PoC，通过后升级信创 B（¥27 万）；非信创立项 → x86 B（¥20.6 万）跑 PoC，通过后升级 x86 C（¥25.8 万）。</w:t>
      </w:r>
    </w:p>
    <w:p>
      <w:pPr>
        <w:pStyle w:val="Heading2"/>
      </w:pPr>
      <w:r>
        <w:rPr>
          <w:rFonts w:ascii="Arial" w:eastAsia="Microsoft YaHei"/>
        </w:rPr>
        <w:t xml:space="preserve">投资概算（单节点，含税）</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路线</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硬件</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三年质保</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备注</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PoC 极速（x86）</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¥206,000（x86 B）</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含</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8 周跑通，Ubuntu+CUDA 生态成熟</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PoC 信创</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¥150,000（信创 A）</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含</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单卡 300I Duo，须先做 vLLM Ascend 兼容测试</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生产信创基本盘</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¥270,000（信创 B）</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含</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Qwen3-Next-80B-A3B 张量并行主选</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生产信创大规模</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¥628,500（信创 C）</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含</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支持 Qwen3-235B-A22B 或多路并发</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顶配（信创+训练）</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¥866,000（信创 D）</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含</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训练+推理双用，若后续微调必备</w:t>
            </w:r>
          </w:p>
        </w:tc>
      </w:tr>
    </w:tbl>
    <w:p>
      <w:r>
        <w:t xml:space="preserve"/>
      </w:r>
    </w:p>
    <w:p>
      <w:pPr>
        <w:spacing w:after="120" w:line="360" w:lineRule="auto"/>
        <w:ind w:firstLine="480"/>
      </w:pPr>
      <w:r>
        <w:rPr>
          <w:rFonts w:ascii="Arial" w:eastAsia="Microsoft YaHei"/>
        </w:rPr>
        <w:t xml:space="preserve">价格来源：华鲲振宇渠道询价（2026-03-31）· 上海友卅科技亘数报价单（2026-03-30）· 客户提供的 kunlunG5580 与 NPU 模组截图。软件层（Qwen 模型、vLLM、TDForge、Dify、Kong/APISIX、Gitea、OpenTelemetry）均为开源 Apache 2.0/MIT/AGPL 许可，无授权费用；Chrome、Docker Community 免费。人力实施成本按客户与同盾另行商定（建议 2-3 名工程师 × 20 周）。</w:t>
      </w:r>
    </w:p>
    <w:p>
      <w:pPr>
        <w:pStyle w:val="Heading2"/>
      </w:pPr>
      <w:r>
        <w:rPr>
          <w:rFonts w:ascii="Arial" w:eastAsia="Microsoft YaHei"/>
        </w:rPr>
        <w:t xml:space="preserve">安全架构</w:t>
      </w:r>
    </w:p>
    <w:p>
      <w:pPr>
        <w:spacing w:after="120" w:line="360" w:lineRule="auto"/>
        <w:ind w:firstLine="480"/>
      </w:pPr>
      <w:r>
        <w:rPr>
          <w:rFonts w:ascii="Arial" w:eastAsia="Microsoft YaHei"/>
        </w:rPr>
        <w:t xml:space="preserve">CDP 浏览器安全：CDP 端口须绑定 127.0.0.1（禁止 0.0.0.0），Agent 与 Chrome 同机运行；使用独立低权限天策账号（非管理员），会话 2 小时超时自动清理，Cookie/Token 禁止写入日志；所有 CDP 操作记录审计日志（时间戳+操作类型+URL，脱敏）；策略上线须经人工确认，Agent 不得自动完成发布。</w:t>
      </w:r>
    </w:p>
    <w:p>
      <w:pPr>
        <w:spacing w:after="120" w:line="360" w:lineRule="auto"/>
        <w:ind w:firstLine="480"/>
      </w:pPr>
      <w:r>
        <w:rPr>
          <w:rFonts w:ascii="Arial" w:eastAsia="Microsoft YaHei"/>
        </w:rPr>
        <w:t xml:space="preserve">供应链安全：离线制品须附 SHA-256 校验（中转机下载时+入内网后双重比对）、SBOM 清单（来源 URL+版本+哈希）、ClamAV 病毒扫描、安全负责人审批后方可导入生产环境。</w:t>
      </w:r>
    </w:p>
    <w:p>
      <w:pPr>
        <w:spacing w:after="120" w:line="360" w:lineRule="auto"/>
        <w:ind w:firstLine="480"/>
      </w:pPr>
      <w:r>
        <w:rPr>
          <w:rFonts w:ascii="Arial" w:eastAsia="Microsoft YaHei"/>
        </w:rPr>
        <w:t xml:space="preserve">端口策略：模型推理 8000（127.0.0.1，仅 Agent 可访问）· Agent 平台 3000/8001（内网 IP，授权用户）· CDP 9222（127.0.0.1，仅本机）· 模型网关 8080（内网 IP，鉴权转发）。</w:t>
      </w:r>
    </w:p>
    <w:p>
      <w:pPr>
        <w:pStyle w:val="Heading2"/>
      </w:pPr>
      <w:r>
        <w:rPr>
          <w:rFonts w:ascii="Arial" w:eastAsia="Microsoft YaHei"/>
        </w:rPr>
        <w:t xml:space="preserve">模型服务层设计</w:t>
      </w:r>
    </w:p>
    <w:p>
      <w:pPr>
        <w:pStyle w:val="Heading3"/>
      </w:pPr>
      <w:r>
        <w:rPr>
          <w:rFonts w:ascii="Arial" w:eastAsia="Microsoft YaHei"/>
        </w:rPr>
        <w:t xml:space="preserve">模型选型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1128"/>
        <w:gridCol w:w="1128"/>
        <w:gridCol w:w="1128"/>
        <w:gridCol w:w="1128"/>
        <w:gridCol w:w="1128"/>
        <w:gridCol w:w="1128"/>
        <w:gridCol w:w="1128"/>
      </w:tblGrid>
      <w:tr>
        <w:tc>
          <w:tcPr>
            <w:tcW w:type="dxa" w:w="112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模型</w:t>
            </w:r>
          </w:p>
        </w:tc>
        <w:tc>
          <w:tcPr>
            <w:tcW w:type="dxa" w:w="112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架构</w:t>
            </w:r>
          </w:p>
        </w:tc>
        <w:tc>
          <w:tcPr>
            <w:tcW w:type="dxa" w:w="112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总参数</w:t>
            </w:r>
          </w:p>
        </w:tc>
        <w:tc>
          <w:tcPr>
            <w:tcW w:type="dxa" w:w="112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激活参数</w:t>
            </w:r>
          </w:p>
        </w:tc>
        <w:tc>
          <w:tcPr>
            <w:tcW w:type="dxa" w:w="112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发布时间</w:t>
            </w:r>
          </w:p>
        </w:tc>
        <w:tc>
          <w:tcPr>
            <w:tcW w:type="dxa" w:w="112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FP16 显存</w:t>
            </w:r>
          </w:p>
        </w:tc>
        <w:tc>
          <w:tcPr>
            <w:tcW w:type="dxa" w:w="112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上下文（原生 / YaRN）</w:t>
            </w:r>
          </w:p>
        </w:tc>
        <w:tc>
          <w:tcPr>
            <w:tcW w:type="dxa" w:w="112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协议</w:t>
            </w:r>
          </w:p>
        </w:tc>
      </w:tr>
      <w:tr>
        <w:tc>
          <w:tcPr>
            <w:tcW w:type="dxa" w:w="11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Qwen3-30B-A3B（PoC 主选）</w:t>
            </w:r>
          </w:p>
        </w:tc>
        <w:tc>
          <w:tcPr>
            <w:tcW w:type="dxa" w:w="11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MoE</w:t>
            </w:r>
          </w:p>
        </w:tc>
        <w:tc>
          <w:tcPr>
            <w:tcW w:type="dxa" w:w="11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30B</w:t>
            </w:r>
          </w:p>
        </w:tc>
        <w:tc>
          <w:tcPr>
            <w:tcW w:type="dxa" w:w="11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3B</w:t>
            </w:r>
          </w:p>
        </w:tc>
        <w:tc>
          <w:tcPr>
            <w:tcW w:type="dxa" w:w="11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2025-04-29</w:t>
            </w:r>
          </w:p>
        </w:tc>
        <w:tc>
          <w:tcPr>
            <w:tcW w:type="dxa" w:w="11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~60GB</w:t>
            </w:r>
          </w:p>
        </w:tc>
        <w:tc>
          <w:tcPr>
            <w:tcW w:type="dxa" w:w="11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32K / 128K</w:t>
            </w:r>
          </w:p>
        </w:tc>
        <w:tc>
          <w:tcPr>
            <w:tcW w:type="dxa" w:w="11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Apache 2.0</w:t>
            </w:r>
          </w:p>
        </w:tc>
      </w:tr>
      <w:tr>
        <w:tc>
          <w:tcPr>
            <w:tcW w:type="dxa" w:w="11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Qwen3-Next-80B-A3B（进阶备选）</w:t>
            </w:r>
          </w:p>
        </w:tc>
        <w:tc>
          <w:tcPr>
            <w:tcW w:type="dxa" w:w="11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MoE</w:t>
            </w:r>
          </w:p>
        </w:tc>
        <w:tc>
          <w:tcPr>
            <w:tcW w:type="dxa" w:w="11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80B</w:t>
            </w:r>
          </w:p>
        </w:tc>
        <w:tc>
          <w:tcPr>
            <w:tcW w:type="dxa" w:w="11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3B</w:t>
            </w:r>
          </w:p>
        </w:tc>
        <w:tc>
          <w:tcPr>
            <w:tcW w:type="dxa" w:w="11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2025-09-11</w:t>
            </w:r>
          </w:p>
        </w:tc>
        <w:tc>
          <w:tcPr>
            <w:tcW w:type="dxa" w:w="11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~160GB</w:t>
            </w:r>
          </w:p>
        </w:tc>
        <w:tc>
          <w:tcPr>
            <w:tcW w:type="dxa" w:w="11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256K / ~1M</w:t>
            </w:r>
          </w:p>
        </w:tc>
        <w:tc>
          <w:tcPr>
            <w:tcW w:type="dxa" w:w="11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Apache 2.0</w:t>
            </w:r>
          </w:p>
        </w:tc>
      </w:tr>
      <w:tr>
        <w:tc>
          <w:tcPr>
            <w:tcW w:type="dxa" w:w="11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Qwen3-32B（Dense 对照）</w:t>
            </w:r>
          </w:p>
        </w:tc>
        <w:tc>
          <w:tcPr>
            <w:tcW w:type="dxa" w:w="11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Dense</w:t>
            </w:r>
          </w:p>
        </w:tc>
        <w:tc>
          <w:tcPr>
            <w:tcW w:type="dxa" w:w="11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32B</w:t>
            </w:r>
          </w:p>
        </w:tc>
        <w:tc>
          <w:tcPr>
            <w:tcW w:type="dxa" w:w="11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32B</w:t>
            </w:r>
          </w:p>
        </w:tc>
        <w:tc>
          <w:tcPr>
            <w:tcW w:type="dxa" w:w="11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2025-04-29</w:t>
            </w:r>
          </w:p>
        </w:tc>
        <w:tc>
          <w:tcPr>
            <w:tcW w:type="dxa" w:w="11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~64GB</w:t>
            </w:r>
          </w:p>
        </w:tc>
        <w:tc>
          <w:tcPr>
            <w:tcW w:type="dxa" w:w="11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32K / 128K</w:t>
            </w:r>
          </w:p>
        </w:tc>
        <w:tc>
          <w:tcPr>
            <w:tcW w:type="dxa" w:w="11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Apache 2.0</w:t>
            </w:r>
          </w:p>
        </w:tc>
      </w:tr>
      <w:tr>
        <w:tc>
          <w:tcPr>
            <w:tcW w:type="dxa" w:w="11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Qwen3-235B-A22B（仅超大规模考虑）</w:t>
            </w:r>
          </w:p>
        </w:tc>
        <w:tc>
          <w:tcPr>
            <w:tcW w:type="dxa" w:w="11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MoE</w:t>
            </w:r>
          </w:p>
        </w:tc>
        <w:tc>
          <w:tcPr>
            <w:tcW w:type="dxa" w:w="11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235B</w:t>
            </w:r>
          </w:p>
        </w:tc>
        <w:tc>
          <w:tcPr>
            <w:tcW w:type="dxa" w:w="11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22B</w:t>
            </w:r>
          </w:p>
        </w:tc>
        <w:tc>
          <w:tcPr>
            <w:tcW w:type="dxa" w:w="11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2025-04-29</w:t>
            </w:r>
          </w:p>
        </w:tc>
        <w:tc>
          <w:tcPr>
            <w:tcW w:type="dxa" w:w="11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~470GB</w:t>
            </w:r>
          </w:p>
        </w:tc>
        <w:tc>
          <w:tcPr>
            <w:tcW w:type="dxa" w:w="11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32K / 128K</w:t>
            </w:r>
          </w:p>
        </w:tc>
        <w:tc>
          <w:tcPr>
            <w:tcW w:type="dxa" w:w="11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Apache 2.0</w:t>
            </w:r>
          </w:p>
        </w:tc>
      </w:tr>
    </w:tbl>
    <w:p>
      <w:r>
        <w:t xml:space="preserve"/>
      </w:r>
    </w:p>
    <w:p>
      <w:pPr>
        <w:spacing w:after="120" w:line="360" w:lineRule="auto"/>
        <w:ind w:firstLine="480"/>
      </w:pPr>
      <w:r>
        <w:rPr>
          <w:rFonts w:ascii="Arial" w:eastAsia="Microsoft YaHei"/>
        </w:rPr>
        <w:t xml:space="preserve">YaRN 扩展模式质量下降，须在 PoC 阶段验证通过后方可启用。Qwen3-Max（Preview）为闭源 API 模型，与"完全内网隔离部署"前提矛盾，不纳入本方案。</w:t>
      </w:r>
    </w:p>
    <w:p>
      <w:pPr>
        <w:spacing w:after="120" w:line="360" w:lineRule="auto"/>
        <w:ind w:firstLine="480"/>
      </w:pPr>
      <w:r>
        <w:rPr>
          <w:rFonts w:ascii="Arial" w:eastAsia="Microsoft YaHei"/>
        </w:rPr>
        <w:t xml:space="preserve">首选 Qwen3-30B-A3B 的理由：激活参数仅 3B，吞吐量高；原生 Function Calling 与思考模式切换，适合多步编排；Apache 2.0 商用无限制；FP16 权重 60GB 单卡 96GB 可容纳。来源：huggingface.co/Qwen/Qwen3-30B-A3B。</w:t>
      </w:r>
    </w:p>
    <w:p>
      <w:pPr>
        <w:spacing w:after="120" w:line="360" w:lineRule="auto"/>
        <w:ind w:firstLine="480"/>
      </w:pPr>
      <w:r>
        <w:rPr>
          <w:rFonts w:ascii="Arial" w:eastAsia="Microsoft YaHei"/>
        </w:rPr>
        <w:t xml:space="preserve">进阶备选 Qwen3-Next-80B-A3B 触发条件：(1) Groovy 代码生成或复杂函数编排 A/B 评测中 30B-A3B 逻辑等价率 &lt; 90%；(2) 单次请求需一次性输入完整元数据（&gt; 16K Token）。来源：huggingface.co/Qwen/Qwen3-Next-80B-A3B-Instruct。</w:t>
      </w:r>
    </w:p>
    <w:p>
      <w:pPr>
        <w:spacing w:after="120" w:line="360" w:lineRule="auto"/>
        <w:ind w:firstLine="480"/>
      </w:pPr>
      <w:r>
        <w:rPr>
          <w:rFonts w:ascii="Arial" w:eastAsia="Microsoft YaHei"/>
        </w:rPr>
        <w:t xml:space="preserve">Qwen3-235B-A22B 不推荐作为常规选项：激活 22B 吞吐比 A3B 系列低一个量级，FP16 权重约 470GB 需 5-8 张卡，仅在信创 C/D 硬件（8× 910B4）到位且业务并发压力显著时考虑。</w:t>
      </w:r>
    </w:p>
    <w:p>
      <w:pPr>
        <w:pStyle w:val="Heading3"/>
      </w:pPr>
      <w:r>
        <w:rPr>
          <w:rFonts w:ascii="Arial" w:eastAsia="Microsoft YaHei"/>
        </w:rPr>
        <w:t xml:space="preserve">推理引擎</w:t>
      </w:r>
    </w:p>
    <w:p>
      <w:pPr>
        <w:spacing w:after="120" w:line="360" w:lineRule="auto"/>
        <w:ind w:firstLine="480"/>
      </w:pPr>
      <w:r>
        <w:rPr>
          <w:rFonts w:ascii="Arial" w:eastAsia="Microsoft YaHei"/>
        </w:rPr>
        <w:t xml:space="preserve">推荐 vLLM。昇腾 NPU 通过 vllm-ascend 插件支持（具体支持等级须以 vllm-ascend 官方 support matrix 最新版本为准）；NVIDIA GPU 原生支持。两种路线均提供 OpenAI 兼容 API，Agent 框架无需区分底层硬件。推理端口绑定 127.0.0.1，</w:t>
      </w:r>
      <w:r>
        <w:rPr>
          <w:rFonts w:ascii="Consolas" w:cs="Consolas" w:eastAsia="Consolas" w:hAnsi="Consolas"/>
        </w:rPr>
        <w:t xml:space="preserve">--max-model-len</w:t>
      </w:r>
      <w:r>
        <w:rPr>
          <w:rFonts w:ascii="Arial" w:eastAsia="Microsoft YaHei"/>
        </w:rPr>
        <w:t xml:space="preserve"> 默认设为 32768（Qwen3-30B-A3B 场景，控制 KV Cache 显存占用）；使用 Qwen3-Next-80B-A3B 且需长上下文时按需上调至 128K/256K。</w:t>
      </w:r>
    </w:p>
    <w:p>
      <w:pPr>
        <w:pStyle w:val="Heading3"/>
      </w:pPr>
      <w:r>
        <w:rPr>
          <w:rFonts w:ascii="Arial" w:eastAsia="Microsoft YaHei"/>
        </w:rPr>
        <w:t xml:space="preserve">元数据检索策略</w:t>
      </w:r>
    </w:p>
    <w:p>
      <w:pPr>
        <w:spacing w:after="120" w:line="360" w:lineRule="auto"/>
        <w:ind w:firstLine="480"/>
      </w:pPr>
      <w:r>
        <w:rPr>
          <w:rFonts w:ascii="Arial" w:eastAsia="Microsoft YaHei"/>
        </w:rPr>
        <w:t xml:space="preserve">天策平台元数据 50-200KB，直接全量输入会超出上下文有效处理能力。采用索引 + 按需检索：tiance-metadata-scout 采集后生成结构化索引（按字段名/编码/事件类型倒排），各 Skill 执行时仅检索当前操作所需的元数据片段，单次请求输入控制在 8K Token 以内。若切换 Qwen3-Next-80B-A3B（256K 原生上下文），可放宽为半全量输入以简化 Skill 逻辑。</w:t>
      </w:r>
    </w:p>
    <w:p>
      <w:pPr>
        <w:pStyle w:val="Heading2"/>
      </w:pPr>
      <w:r>
        <w:rPr>
          <w:rFonts w:ascii="Arial" w:eastAsia="Microsoft YaHei"/>
        </w:rPr>
        <w:t xml:space="preserve">平台能力层设计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能力</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方案</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说明</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模型网关</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Kong/APISIX 离线版（均 Apache 2.0）</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API Key 鉴权、限流、配额、请求日志</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版本管理</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Gitea 离线版</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Prompt/模型/Skill 版本追溯与回滚</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评测回归</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自建评测工具</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模型部署、Prompt 变更、Skill 更新后自动触发</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全链路 Trace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OpenTelemetry + Jaeger/Tempo 后端</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用户指令→Agent→Skill→LLM→浏览器→平台 API</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RBAC 与审计</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三角色（操作员/审核员/管理员）</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审计日志 ≥ 180 天，敏感数据自动脱敏</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高可用</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PoC 单节点，生产双实例主备</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会话持久化、配置定期备份</w:t>
            </w:r>
          </w:p>
        </w:tc>
      </w:tr>
    </w:tbl>
    <w:p>
      <w:r>
        <w:t xml:space="preserve"/>
      </w:r>
    </w:p>
    <w:p>
      <w:pPr>
        <w:pStyle w:val="Heading2"/>
      </w:pPr>
      <w:r>
        <w:rPr>
          <w:rFonts w:ascii="Arial" w:eastAsia="Microsoft YaHei"/>
        </w:rPr>
        <w:t xml:space="preserve">Agent 平台层设计</w:t>
      </w:r>
    </w:p>
    <w:p>
      <w:pPr>
        <w:spacing w:after="120" w:line="360" w:lineRule="auto"/>
        <w:ind w:firstLine="480"/>
      </w:pPr>
      <w:r>
        <w:rPr>
          <w:rFonts w:ascii="Arial" w:eastAsia="Microsoft YaHei"/>
        </w:rPr>
        <w:t xml:space="preserve">分阶段部署：PoC 阶段使用 TDForge（同盾自研 Electron Agent，原生 Skill 兼容，开箱即用，定位为单人 PoC 工具）。生产阶段迁移至 Dify + DeerFlow（Web 化、多用户、RBAC、审批流程，需 4-6 周 Skill 适配，实际工作量视 Skill 数量与浏览器自动化复杂度而定）。</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对比</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TDForge（PoC）</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Dify + DeerFlow（生产）</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部署</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桌面应用</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Docker Compose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Skill 兼容</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原生</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需适配</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多用户/RBAC</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无</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支持</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浏览器自动化</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内置</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需集成 Playwright</w:t>
            </w:r>
          </w:p>
        </w:tc>
      </w:tr>
    </w:tbl>
    <w:p>
      <w:r>
        <w:t xml:space="preserve"/>
      </w:r>
    </w:p>
    <w:p>
      <w:pPr>
        <w:spacing w:after="120" w:line="360" w:lineRule="auto"/>
        <w:ind w:firstLine="480"/>
      </w:pPr>
      <w:r>
        <w:rPr>
          <w:rFonts w:ascii="Arial" w:eastAsia="Microsoft YaHei"/>
        </w:rPr>
        <w:t xml:space="preserve">Python 运行时：Python 3.12 + openpyxl/xlrd/xlwt/requests/pandas/xlsxwriter，离线安装，依赖版本按客户 PoC 阶段确定的清单锁版本号。</w:t>
      </w:r>
    </w:p>
    <w:p>
      <w:pPr>
        <w:pStyle w:val="Heading2"/>
      </w:pPr>
      <w:r>
        <w:rPr>
          <w:rFonts w:ascii="Arial" w:eastAsia="Microsoft YaHei"/>
        </w:rPr>
        <w:t xml:space="preserve">Skill 应用层部署</w:t>
      </w:r>
    </w:p>
    <w:p>
      <w:pPr>
        <w:spacing w:after="120" w:line="360" w:lineRule="auto"/>
        <w:ind w:firstLine="480"/>
      </w:pPr>
      <w:r>
        <w:rPr>
          <w:rFonts w:ascii="Arial" w:eastAsia="Microsoft YaHei"/>
        </w:rPr>
        <w:t xml:space="preserve">10 个核心 Skill 按 8 层依赖链部署：metadata-scout（前置）→ basic-config（第 1 层）→ field（第 2 层）→ datasource + ETL（第 3 层）→ service-config（第 4 层）→ function（第 5 层）→ rule + metric（第 6-7 层）→ policy（第 8 层）。</w:t>
      </w:r>
    </w:p>
    <w:p>
      <w:pPr>
        <w:spacing w:after="120" w:line="360" w:lineRule="auto"/>
        <w:ind w:firstLine="480"/>
      </w:pPr>
      <w:r>
        <w:rPr>
          <w:rFonts w:ascii="Arial" w:eastAsia="Microsoft YaHei"/>
        </w:rPr>
        <w:t xml:space="preserve">Skill 从团队 Git 仓库 develop 分支通过 skill-sync 同步，首次完整拉取，后续增量更新。</w:t>
      </w:r>
    </w:p>
    <w:p>
      <w:pPr>
        <w:pStyle w:val="Heading2"/>
      </w:pPr>
      <w:r>
        <w:rPr>
          <w:rFonts w:ascii="Arial" w:eastAsia="Microsoft YaHei"/>
        </w:rPr>
        <w:t xml:space="preserve">验收标准</w:t>
      </w:r>
    </w:p>
    <w:p>
      <w:pPr>
        <w:pStyle w:val="Heading3"/>
      </w:pPr>
      <w:r>
        <w:rPr>
          <w:rFonts w:ascii="Arial" w:eastAsia="Microsoft YaHei"/>
        </w:rPr>
        <w:t xml:space="preserve">模型能力验收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维度</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达标标准</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规模</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字段精确匹配</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匹配率 ≥ 95%，错误 UUID = 0</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50 个字段</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Groovy 代码生成</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语法正确率 = 100%，逻辑等价率 ≥ 90%</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30 个函数</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.rss/.pls 导入校验</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天策平台 CHECK 通过率 = 100%</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10 规则集 + 5 策略</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工具调用编排</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步骤正确率 = 100%，人工修改率 ≤ 10%</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10 个场景</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端到端成功率</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8 层流水线无人工干预完成率 ≥ 80%</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5 个完整项目</w:t>
            </w:r>
          </w:p>
        </w:tc>
      </w:tr>
    </w:tbl>
    <w:p>
      <w:r>
        <w:t xml:space="preserve"/>
      </w:r>
    </w:p>
    <w:p>
      <w:pPr>
        <w:spacing w:after="120" w:line="360" w:lineRule="auto"/>
        <w:ind w:firstLine="480"/>
      </w:pPr>
      <w:r>
        <w:rPr>
          <w:rFonts w:ascii="Arial" w:eastAsia="Microsoft YaHei"/>
        </w:rPr>
        <w:t xml:space="preserve">上述均为目标值，须在 PoC 阶段用客户方业务数据实测校准。</w:t>
      </w:r>
    </w:p>
    <w:p>
      <w:pPr>
        <w:pStyle w:val="Heading3"/>
      </w:pPr>
      <w:r>
        <w:rPr>
          <w:rFonts w:ascii="Arial" w:eastAsia="Microsoft YaHei"/>
        </w:rPr>
        <w:t xml:space="preserve">系统性能验收</w:t>
      </w:r>
    </w:p>
    <w:p>
      <w:pPr>
        <w:spacing w:after="120" w:line="360" w:lineRule="auto"/>
        <w:ind w:firstLine="480"/>
      </w:pPr>
      <w:r>
        <w:rPr>
          <w:rFonts w:ascii="Arial" w:eastAsia="Microsoft YaHei"/>
        </w:rPr>
        <w:t xml:space="preserve">单次请求 P95 ≤ 30s（8K Token）· 可用性 ≥ 99%（8h 工作时间）· 并发 ≥ 2 会话。</w:t>
      </w:r>
    </w:p>
    <w:p>
      <w:pPr>
        <w:pStyle w:val="Heading3"/>
      </w:pPr>
      <w:r>
        <w:rPr>
          <w:rFonts w:ascii="Arial" w:eastAsia="Microsoft YaHei"/>
        </w:rPr>
        <w:t xml:space="preserve">安全验收</w:t>
      </w:r>
    </w:p>
    <w:p>
      <w:pPr>
        <w:spacing w:after="120" w:line="360" w:lineRule="auto"/>
        <w:ind w:firstLine="480"/>
      </w:pPr>
      <w:r>
        <w:rPr>
          <w:rFonts w:ascii="Arial" w:eastAsia="Microsoft YaHei"/>
        </w:rPr>
        <w:t xml:space="preserve">CDP 端口外部扫描不可达 · 审计日志覆盖率 100% · 日志敏感信息泄露 = 0 · 未审批上线次数 = 0 · 历史用例回归通过率 ≥ 95%。</w:t>
      </w:r>
    </w:p>
    <w:p>
      <w:pPr>
        <w:pStyle w:val="Heading2"/>
      </w:pPr>
      <w:r>
        <w:rPr>
          <w:rFonts w:ascii="Arial" w:eastAsia="Microsoft YaHei"/>
        </w:rPr>
        <w:t xml:space="preserve">实施计划（16-20 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阶段</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周期</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内容</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里程碑</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一：需求盘点</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1-2 周</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环境调研、硬件选型确认、启动采购、离线制品下载</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采购流程启动</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二：离线 PoC</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3-6 周</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推理引擎验证、模型评测（30B-A3B vs Next-80B-A3B vs 32B Dense）、Ascend 兼容性测试、Skill 联调、安全验证、生成离线包</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端到端完成 1 个项目 8 层配置，人工修改率 ≤ 10%</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三：内网部署</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7-10 周</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硬件安装、驱动部署、离线包导入、模型/Agent/Skill 部署、真实项目试点（编辑区）</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2 个真实项目配置完成，CHECK 通过率 100%</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四：安全整改与生产化</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11-16 周</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安全评审、平台能力层部署、Dify 适配（如需）、评测基线、审批流程、正式区试运行</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安全评审通过，≥ 3 个项目生产验证</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五：培训与交付</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17-20 周</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培训、UAT、问题修复、文档编写、执行全部验收指标</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全部指标达标，正式交付</w:t>
            </w:r>
          </w:p>
        </w:tc>
      </w:tr>
    </w:tbl>
    <w:p>
      <w:r>
        <w:t xml:space="preserve"/>
      </w:r>
    </w:p>
    <w:p>
      <w:pPr>
        <w:pStyle w:val="Heading2"/>
      </w:pPr>
      <w:r>
        <w:rPr>
          <w:rFonts w:ascii="Arial" w:eastAsia="Microsoft YaHei"/>
        </w:rPr>
        <w:t xml:space="preserve">风险与应对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风险</w:t>
            </w:r>
          </w:p>
        </w:tc>
        <w:tc>
          <w:tcPr>
            <w:tcW w:type="dxa" w:w="45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应对</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Atlas 300I Duo vLLM Ascend 支持等级不达预期</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PoC 阶段先验证；若不达预期切换至 910B4 系列（信创 C/D）或 NVIDIA 路线</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Qwen3-30B-A3B 激活参数 3B 复杂场景能力不足</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预留升级 Qwen3-Next-80B-A3B（同 3B 激活、80B 总参、256K 上下文），或升级 Qwen3-235B-A22B（需信创 C/D 硬件），优先通过 Prompt 工程降低模型负担</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客户内网环境特殊限制</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阶段一充分调研，准备环境自检脚本</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Chrome CDP 长时间运行不稳定</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Skill 内置重试+降级，关键操作支持手动 Console 兜底</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TDForge 仅为 PoC 工具，生产化需迁移</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阶段四预留 4-6 周 Skill 适配，PoC 通过后尽早启动</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硬件报价有效期短（询价单 2 天有效）</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立项后 1 周内锁价，避免涨价风险</w:t>
            </w:r>
          </w:p>
        </w:tc>
      </w:tr>
    </w:tbl>
    <w:p>
      <w:r>
        <w:t xml:space="preserve"/>
      </w:r>
    </w:p>
    <w:p>
      <w:pPr>
        <w:pStyle w:val="Heading2"/>
      </w:pPr>
      <w:r>
        <w:rPr>
          <w:rFonts w:ascii="Arial" w:eastAsia="Microsoft YaHei"/>
        </w:rPr>
        <w:t xml:space="preserve">参考资料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资料</w:t>
            </w:r>
          </w:p>
        </w:tc>
        <w:tc>
          <w:tcPr>
            <w:tcW w:type="dxa" w:w="45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来源</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Qwen3 官方博客（含 30B-A3B、235B-A22B 发布通告）</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qwenlm.github.io/zh/blog/qwen3</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Qwen3-30B-A3B 模型卡</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huggingface.co/Qwen/Qwen3-30B-A3B</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Qwen3-Next-80B-A3B-Instruct 模型卡</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huggingface.co/Qwen/Qwen3-Next-80B-A3B-Instruct</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Qwen3-235B-A22B 模型卡</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huggingface.co/Qwen/Qwen3-235B-A22B</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vLLM Ascend 插件与 support matrix</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github.com/vllm-project/vllm-ascend</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Atlas 300I Duo 规格</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e.huawei.com/cn/products/computing/ascend/atlas-300i-duo</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华鲲振宇渠道询价单</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客户提供，2026-03-31</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亘数塔式工作站报价单</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上海友卅科技，2026-03-30</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kunlunG5580 与 NPU 模组报价</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客户提供截图</w:t>
            </w:r>
          </w:p>
        </w:tc>
      </w:tr>
    </w:tbl>
    <w:p>
      <w:r>
        <w:t xml:space="preserve"/>
      </w:r>
    </w:p>
    <w:p>
      <w:pPr>
        <w:spacing w:after="120" w:line="360" w:lineRule="auto"/>
        <w:ind w:firstLine="480"/>
      </w:pPr>
      <w:r>
        <w:rPr>
          <w:rFonts w:ascii="Arial" w:eastAsia="Microsoft YaHei"/>
        </w:rPr>
        <w:t xml:space="preserve">本文档为草案，所有硬件型号与推理引擎兼容性声明须在 PoC 阶段实机验证后方可作为采购和部署依据。</w:t>
      </w:r>
    </w:p>
    <w:p>
      <w:pPr>
        <w:pStyle w:val="Heading3"/>
      </w:pPr>
      <w:r>
        <w:rPr>
          <w:rFonts w:ascii="Arial" w:eastAsia="Microsoft YaHei"/>
        </w:rPr>
        <w:t xml:space="preserve">版本变更记录</w:t>
      </w:r>
    </w:p>
    <w:p>
      <w:pPr>
        <w:spacing w:after="120" w:line="360" w:lineRule="auto"/>
        <w:ind w:firstLine="480"/>
      </w:pPr>
      <w:r>
        <w:rPr>
          <w:rFonts w:ascii="Arial" w:eastAsia="Microsoft YaHei"/>
        </w:rPr>
        <w:t xml:space="preserve">v2.3（2026-08-06）：(1) 硬件选型表全部替换为华鲲振宇渠道询价与亘数报价单的真实型号与含税价；(2) 剔除 Atlas 300V/300V Pro（视频分析卡）从 LLM 选项；(3) 新增 910B4 系列（kunlunG5580、NPU 模组）作为大规模推理与训练备选；(4) 新增"投资概算"章节，五条路线各给单节点含税价；(5) 修正 vLLM Ascend 支持等级描述为"须以官方 support matrix 为准"；(6) 修正 Qwen3 上下文列，明确标注"原生 / YaRN"；(7) 显存需求补充"embedding/激活/KV Cache 实际占用 65-75GB"的完整估算；(8) OpenTelemetry 补充 Jaeger/Tempo 后端说明；(9) 风险表新增"硬件报价有效期短"应对项。</w:t>
      </w:r>
    </w:p>
    <w:p>
      <w:pPr>
        <w:spacing w:after="120" w:line="360" w:lineRule="auto"/>
        <w:ind w:firstLine="480"/>
      </w:pPr>
      <w:r>
        <w:rPr>
          <w:rFonts w:ascii="Arial" w:eastAsia="Microsoft YaHei"/>
        </w:rPr>
        <w:t xml:space="preserve">v2.2（2026-08-06）：主选模型由 Qwen3.6-35B-A3B（非官方命名）修正为 Qwen3-30B-A3B；显存需求由 70-80GB 修正为约 60GB；新增 Qwen3-Next-80B-A3B 作为长上下文与复杂 Groovy 生成的进阶备选；移除 Qwen3.5-122B-A10B（非官方命名），替换为 Qwen3-235B-A22B 并标注"仅超大规模才考虑"；更新参考资料链接为可访问的官方模型卡。</w:t>
      </w:r>
    </w:p>
    <w:p>
      <w:pPr>
        <w:spacing w:after="120" w:line="360" w:lineRule="auto"/>
        <w:ind w:firstLine="480"/>
      </w:pPr>
      <w:r>
        <w:rPr>
          <w:rFonts w:ascii="Arial" w:eastAsia="Microsoft YaHei"/>
        </w:rPr>
        <w:t xml:space="preserve">v2.1：五层架构、离线部署、TDForge→Dify 分阶段、安全设计初版。</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eastAsia="Microsoft YaHei"/>
      <w:b/>
      <w:bCs/>
      <w:color w:val="000000"/>
      <w:sz w:val="32"/>
      <w:szCs w:val="32"/>
    </w:rPr>
  </w:style>
  <w:style w:type="paragraph" w:styleId="Heading2">
    <w:name w:val="Heading 2"/>
    <w:basedOn w:val="Normal"/>
    <w:next w:val="Normal"/>
    <w:qFormat/>
    <w:pPr>
      <w:spacing w:after="180" w:before="180"/>
      <w:outlineLvl w:val="1"/>
    </w:pPr>
    <w:rPr>
      <w:rFonts w:ascii="Arial" w:eastAsia="Microsoft YaHei"/>
      <w:b/>
      <w:bCs/>
      <w:color w:val="000000"/>
      <w:sz w:val="28"/>
      <w:szCs w:val="28"/>
    </w:rPr>
  </w:style>
  <w:style w:type="paragraph" w:styleId="Heading3">
    <w:name w:val="Heading 3"/>
    <w:basedOn w:val="Normal"/>
    <w:next w:val="Normal"/>
    <w:qFormat/>
    <w:pPr>
      <w:spacing w:after="120" w:before="120"/>
      <w:outlineLvl w:val="2"/>
    </w:pPr>
    <w:rPr>
      <w:rFonts w:ascii="Arial" w:eastAsia="Microsoft YaHei"/>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2026-08-06T06:46:42.751Z</dcterms:created>
  <dcterms:modified xsi:type="dcterms:W3CDTF">2026-08-06T06:46:42.752Z</dcterms:modified>
</cp:coreProperties>
</file>

<file path=docProps/custom.xml><?xml version="1.0" encoding="utf-8"?>
<Properties xmlns="http://schemas.openxmlformats.org/officeDocument/2006/custom-properties" xmlns:vt="http://schemas.openxmlformats.org/officeDocument/2006/docPropsVTypes"/>
</file>