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/>
        </w:rPr>
        <w:t xml:space="preserve">天策策略自动化配置 AI 基础建设方案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版本：v4.5  日期：2026-08-06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跑通天策策略自动化配置，客户需要以下四样：</w:t>
      </w:r>
      <w:r>
        <w:rPr>
          <w:rFonts w:ascii="Arial" w:eastAsia="Microsoft YaHei"/>
          <w:b/>
          <w:bCs/>
        </w:rPr>
        <w:t xml:space="preserve">服务器 + 加速卡 + 模型 + Agent</w:t>
      </w:r>
      <w:r>
        <w:rPr>
          <w:rFonts w:ascii="Arial" w:eastAsia="Microsoft YaHei"/>
        </w:rPr>
        <w:t xml:space="preserve">。</w:t>
      </w:r>
    </w:p>
    <w:p>
      <w:pPr>
        <w:pStyle w:val="Heading2"/>
      </w:pPr>
      <w:r>
        <w:rPr>
          <w:rFonts w:ascii="Arial" w:eastAsia="Microsoft YaHei"/>
        </w:rPr>
        <w:t xml:space="preserve">主推方案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信创路线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非信创路线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服务器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华鲲振宇 AT9508 G3 4U 服务器（5 卡位，先装 1 张，PCIe/电源/散热按满配预留）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x86 塔式工作站（Threadripper 或 Xeon，机箱至少 3 卡位、电源 2000W）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加速卡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昇腾 910C 单卡（128GB HBM，2025 Q1 发布）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2× NVIDIA RTX5880 Ada 48GB（合计 96GB，通过 NVLink Bridge 或张量并行运行）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Qwen3.6-35B-A3B（Apache 2.0 开源，MoE 架构，激活 3B/总参 35B）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推理引擎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+ vllm-ascend（暴露 OpenAI 兼容 API，Agent 通过 endpoint 接入，模型服务与 Agent 解耦）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vLLM（同左，模型服务与 Agent 解耦）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Agent 平台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TDForge（同盾自研桌面 Agent，原生兼容策略配置 Skill）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Skill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 个 tiance-* 策略配置 Skill（含元数据采集、字段、函数、规则、指标、策略等 8 层）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部署形态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完全内网离线部署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网络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25G/100G 网卡预留，支持后续多机张量并行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显存与性能说明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Qwen3.6-35B-A3B 虽然每次推理仅激活 3B 参数，但 MoE 权重须</w:t>
      </w:r>
      <w:r>
        <w:rPr>
          <w:rFonts w:ascii="Arial" w:eastAsia="Microsoft YaHei"/>
          <w:b/>
          <w:bCs/>
        </w:rPr>
        <w:t xml:space="preserve">全量加载</w:t>
      </w:r>
      <w:r>
        <w:rPr>
          <w:rFonts w:ascii="Arial" w:eastAsia="Microsoft YaHei"/>
        </w:rPr>
        <w:t xml:space="preserve">：权重理论值 35B × 2 bytes（FP16）≈ 70GB，加 embedding、激活、KV Cache（32K 上下文，单会话约 6-10GB）与 vLLM 引擎开销，单实例实际显存占用约 80-95GB。因此单卡 128GB HBM 的 910C 或 2× RTX5880 Ada（96GB，需张量并行且 KV Cache 受限）为门槛配置。</w:t>
      </w:r>
    </w:p>
    <w:p>
      <w:pPr>
        <w:pStyle w:val="Heading2"/>
      </w:pPr>
      <w:r>
        <w:rPr>
          <w:rFonts w:ascii="Arial" w:eastAsia="Microsoft YaHei"/>
        </w:rPr>
        <w:t xml:space="preserve">模型演进路径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策略自动化配置的模型能力可按业务规模与预算分四档演进，硬件与架构均已按此路径预留。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档位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定位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硬件门槛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预计时机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门槛档（当前 PoC）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Qwen3.6-35B-A3B（Apache 2.0，MoE 35B/3B，2026-04 发布）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跑通天策 8 层流水线、验证 Skill 端到端可用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1× 910C（128GB）或 2× RTX5880 Ada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立即可用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进阶档（能力升级）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Qwen3.5-397B-A17B（Apache 2.0，MoE 397B/17B，2026-02 发布）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复杂 Groovy 生成、长链路多步编排失败率显著下降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5-8× 910C 张量并行（AT9508 G3 机箱可直接扩）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阿里已开源，随时可切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跨代档（规模跃升）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Qwen3.8-Max（MoE 2.4T/95B，1M 上下文，2026-08-03 发布）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单一模型覆盖天策全域复杂决策，弱化多模型编排需求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INT4 量化仍需约 1.2TB 显存，需 20+ 卡集群，属</w:t>
            </w:r>
            <w:r>
              <w:rPr>
                <w:rFonts w:ascii="Arial" w:eastAsia="Microsoft YaHei"/>
                <w:b/>
                <w:bCs/>
              </w:rPr>
              <w:t xml:space="preserve">独立立项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阿里已公告"下周开源权重"，开源后可评估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展望档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 后续更大 MoE 系列 / 或行业垂类微调模型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结合业务量与合规要求，定制化生产集群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集群化建设（Atlas 800 A2/A3 或多节点 SuperPod）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12-18 个月视业务演进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演进路径的三个关键设计：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一、Agent 与模型服务解耦</w:t>
      </w:r>
      <w:r>
        <w:rPr>
          <w:rFonts w:ascii="Arial" w:eastAsia="Microsoft YaHei"/>
        </w:rPr>
        <w:t xml:space="preserve">：vLLM 暴露标准 OpenAI 兼容 API，TDForge/Skill 层通过 endpoint 调用；换模型只改 endpoint URL 与模型名，Skill 逻辑零改动、Agent 编排零改动。这意味着从 Qwen3.6→Qwen3.5-397B→Qwen3.8-Max 的每一次升级，天策上的 10 个 Skill 都可复用，不用重新适配。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二、硬件机箱一次到位</w:t>
      </w:r>
      <w:r>
        <w:rPr>
          <w:rFonts w:ascii="Arial" w:eastAsia="Microsoft YaHei"/>
        </w:rPr>
        <w:t xml:space="preserve">：主推的 AT9508 G3 4U 机箱内置 5 张卡位，先装 1 张 910C 跑门槛档，未来切换到 Qwen3.5-397B-A17B 直接加装 4 张卡开启张量并行，机器不换、机柜位不变、网络不换。x86 侧 3 卡位塔式同理。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三、跨代升级明确边界</w:t>
      </w:r>
      <w:r>
        <w:rPr>
          <w:rFonts w:ascii="Arial" w:eastAsia="Microsoft YaHei"/>
        </w:rPr>
        <w:t xml:space="preserve">：Qwen3.8-Max（2.4T 总参）不是"加张卡就能跑"，即便 INT4 量化后仍需约 1.2TB 显存，落地需要 20+ 卡集群规模的独立立项，涉及机房、供电、网络架构、运维体系的全面升级。</w:t>
      </w:r>
      <w:r>
        <w:rPr>
          <w:rFonts w:ascii="Arial" w:eastAsia="Microsoft YaHei"/>
          <w:b/>
          <w:bCs/>
        </w:rPr>
        <w:t xml:space="preserve">建议 PoC 通过后先走进阶档（Qwen3.5-397B-A17B）积累业务数据，等 3.8-Max 权重稳定发布 3-6 个月、业务量确实需要时再启动集群项目</w:t>
      </w:r>
      <w:r>
        <w:rPr>
          <w:rFonts w:ascii="Arial" w:eastAsia="Microsoft YaHei"/>
        </w:rPr>
        <w:t xml:space="preserve">，避免超前投入。</w:t>
      </w:r>
    </w:p>
    <w:p>
      <w:pPr>
        <w:pStyle w:val="Heading2"/>
      </w:pPr>
      <w:r>
        <w:rPr>
          <w:rFonts w:ascii="Arial" w:eastAsia="Microsoft YaHei"/>
        </w:rPr>
        <w:t xml:space="preserve">其他按需切换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场景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应对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并发数不够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同一模型加卡加副本 + 提升批处理</w:t>
            </w:r>
            <w:r>
              <w:rPr>
                <w:rFonts w:ascii="Arial" w:eastAsia="Microsoft YaHei"/>
              </w:rPr>
              <w:t xml:space="preserve">，不换模型（大模型只会更耗算力、并发反而下降）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需要模型微调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硬件升级至 Atlas 800 A2/A3（华为官方 Qwen3.6 微调参考部署）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兼容矩阵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组件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信创版本要求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x86 版本要求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操作系统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openEuler 22.03 LTS SP3 及以上 或 麒麟 V10 SP3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Ubuntu 22.04 LTS 及以上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驱动栈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CANN 8.0 及以上 + Ascend Driver 25.x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NVIDIA Driver 550+ / CUDA 12.4+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推理引擎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0.7+ · vllm-ascend 0.18+（v0.18.0 起官方支持 Qwen3.6-35B-A3B）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0.7+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具体版本以采购当期 vllm-ascend/Qwen 官方 support matrix 为准，PoC 阶段实测确认。</w:t>
      </w:r>
    </w:p>
    <w:p>
      <w:pPr>
        <w:pStyle w:val="Heading2"/>
      </w:pPr>
      <w:r>
        <w:rPr>
          <w:rFonts w:ascii="Arial" w:eastAsia="Microsoft YaHei"/>
        </w:rPr>
        <w:t xml:space="preserve">说明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服务器机箱</w:t>
      </w:r>
      <w:r>
        <w:rPr>
          <w:rFonts w:ascii="Arial" w:eastAsia="Microsoft YaHei"/>
          <w:b/>
          <w:bCs/>
        </w:rPr>
        <w:t xml:space="preserve">直接选可扩展款</w:t>
      </w:r>
      <w:r>
        <w:rPr>
          <w:rFonts w:ascii="Arial" w:eastAsia="Microsoft YaHei"/>
        </w:rPr>
        <w:t xml:space="preserve">（信创侧 AT9508 G3 5 卡位、x86 侧 3 卡位塔式），先装门槛配置跑 PoC，未来加卡扩容不用换机器；电源、散热、网络按满配预留成本可控但收益大。首选卡 Ascend 910C（128GB HBM）性能远超上一代 Atlas 300I Duo；若客户渠道暂时拿不到 910C，可用 Atlas 300I Duo 96GB 单卡跑 PoC，但生产建议直接上 910C 或更新款（Atlas 350/950PR 已上市）。具体服务器型号请客户找华鲲振宇、长虹佳华等鲲鹏 OEM 渠道，非信创 x86 方案可找亘数或同类工作站厂商。</w:t>
      </w:r>
    </w:p>
    <w:p>
      <w:pPr>
        <w:pStyle w:val="Heading2"/>
      </w:pPr>
      <w:r>
        <w:rPr>
          <w:rFonts w:ascii="Arial" w:eastAsia="Microsoft YaHei"/>
        </w:rPr>
        <w:t xml:space="preserve">参考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huggingface.co/Qwen/Qwen3.6-35B-A3B · huggingface.co/Qwen/Qwen3.5-397B-A17B · qwen.ai/blog?id=qwen3.8（Qwen3.8-Max 官方公告） · github.com/vllm-project/vllm-ascend · e.huawei.com/cn/products/computing/ascend · docs.vllm.ai（vLLM OpenAI 兼容 API 规范，用于 Agent 与模型服务解耦）。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eastAsia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eastAsia="Microsoft YaHe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2026-08-06T07:58:05.843Z</dcterms:created>
  <dcterms:modified xsi:type="dcterms:W3CDTF">2026-08-06T07:58:05.844Z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