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Fonts w:ascii="Arial" w:eastAsia="Microsoft YaHei"/>
        </w:rPr>
        <w:t xml:space="preserve">第三案 交底书 V7 交接说明（给代理机构，非交底书正文）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本说明从技术交底书正文中移出，专供专利代理机构在正式撰写与检索阶段参考。交底书正文（V7）保持为纯技术方案，不含以下流程性与边界性备注。</w:t>
      </w:r>
    </w:p>
    <w:p>
      <w:pPr>
        <w:pStyle w:val="Heading3"/>
      </w:pPr>
      <w:r>
        <w:rPr>
          <w:rFonts w:ascii="Arial" w:eastAsia="Microsoft YaHei"/>
        </w:rPr>
        <w:t xml:space="preserve">一、撰写边界（防止与 TD260040 重复授权）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本案以"跨控制面配置引用图、污染识别、迁移复检及其受控处置"为核心发明构思，不主张 AI Agent 能力资产的受控分发、非持久化加载、交互式认证、多协议传输或通用故障决策树；上述相关内容由 TD260040（第一案）对应方案覆盖。权利要求正式撰写时应据此划界，避免与第一案的六个保护点重复授权或产生单一性瑕疵。</w:t>
      </w:r>
    </w:p>
    <w:p>
      <w:pPr>
        <w:pStyle w:val="Heading3"/>
      </w:pPr>
      <w:r>
        <w:rPr>
          <w:rFonts w:ascii="Arial" w:eastAsia="Microsoft YaHei"/>
        </w:rPr>
        <w:t xml:space="preserve">二、提交前仍需补充的材料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由代理机构完成正式现有技术检索及权利要求组合启示分析。正文第 1 节所列 CN111984373A、CN113703915A/B、CN116185991A、CN115587188A/B 四篇为初步核验，其编号与权利要求相关性以正式检索结论为准，本稿仅按技术类别描述差异，不作为新颖性或创造性的最终结论。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补齐一次"采集 → 检测 → 阻断 → 转换 → 复检 → 放行"的连续原型执行日志（对应正文 9.2 原型重放实施例，当前标注"待补"）。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补齐约 295 项配置扫描的人为中断及配置项级断点续跑日志，证明恢复后仅处理未完成或输入已变化的配置项。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说明：正文 9.1 为已发生的真实过程，9.2 为拟实现的事前门禁原型，二者严格分列，不以拟实现内容冒充已完成的真实过程。</w:t>
      </w:r>
    </w:p>
    <w:p>
      <w:pPr>
        <w:pStyle w:val="Heading3"/>
      </w:pPr>
      <w:r>
        <w:rPr>
          <w:rFonts w:ascii="Arial" w:eastAsia="Microsoft YaHei"/>
        </w:rPr>
        <w:t xml:space="preserve">三、附图状态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V7 的全部 8 张附图已按专利制图规范重绘为黑白线稿（去除彩色填充与灰度底纹，改以黑色线条与线上文字标注区分语义），可直接随文提交；正式申请阶段如代理所有统一制图模板要求，可据此进一步规范化描线。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2026-10-12T08:53:29.164Z</dcterms:created>
  <dcterms:modified xsi:type="dcterms:W3CDTF">2026-10-12T08:53:29.165Z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