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8397D2">
      <w:pPr>
        <w:spacing w:after="200"/>
        <w:jc w:val="center"/>
      </w:pPr>
      <w:r>
        <w:rPr>
          <w:rFonts w:ascii="Arial" w:hAnsi="Arial" w:eastAsia="微软雅黑" w:cs="Arial"/>
          <w:b/>
          <w:bCs/>
          <w:sz w:val="32"/>
          <w:szCs w:val="32"/>
        </w:rPr>
        <w:t>技 术 交 底 书</w:t>
      </w:r>
    </w:p>
    <w:p w14:paraId="72948532">
      <w:pPr>
        <w:spacing w:line="360" w:lineRule="auto"/>
      </w:pPr>
      <w:r>
        <w:rPr>
          <w:rFonts w:ascii="Arial" w:hAnsi="Arial" w:eastAsia="微软雅黑" w:cs="Arial"/>
          <w:b/>
          <w:bCs/>
          <w:sz w:val="21"/>
          <w:szCs w:val="21"/>
        </w:rPr>
        <w:t>发明名称：一种基于版本锁定测试预言和分层执行证据的风控测试用例受控修复方法及系统</w:t>
      </w:r>
    </w:p>
    <w:p w14:paraId="1BB66744">
      <w:pPr>
        <w:spacing w:line="360" w:lineRule="auto"/>
        <w:rPr>
          <w:rFonts w:hint="default" w:eastAsia="微软雅黑"/>
          <w:lang w:val="en-US" w:eastAsia="zh-CN"/>
        </w:rPr>
      </w:pPr>
      <w:r>
        <w:rPr>
          <w:rFonts w:ascii="Arial" w:hAnsi="Arial" w:eastAsia="微软雅黑" w:cs="Arial"/>
          <w:b/>
          <w:bCs/>
          <w:sz w:val="21"/>
          <w:szCs w:val="21"/>
        </w:rPr>
        <w:t>本专利发明人：</w:t>
      </w:r>
      <w:r>
        <w:rPr>
          <w:rFonts w:hint="eastAsia" w:ascii="Arial" w:hAnsi="Arial" w:eastAsia="微软雅黑" w:cs="Arial"/>
          <w:b/>
          <w:bCs/>
          <w:sz w:val="21"/>
          <w:szCs w:val="21"/>
          <w:lang w:val="en-US" w:eastAsia="zh-CN"/>
        </w:rPr>
        <w:t>王挺宇、陈辰</w:t>
      </w:r>
    </w:p>
    <w:p w14:paraId="70CBF6A5">
      <w:pPr>
        <w:spacing w:line="360" w:lineRule="auto"/>
        <w:rPr>
          <w:rFonts w:hint="eastAsia" w:ascii="Arial" w:hAnsi="Arial" w:eastAsia="微软雅黑" w:cs="Arial"/>
          <w:b/>
          <w:bCs/>
          <w:sz w:val="21"/>
          <w:szCs w:val="21"/>
          <w:lang w:val="en-US" w:eastAsia="zh-CN"/>
        </w:rPr>
      </w:pPr>
      <w:r>
        <w:rPr>
          <w:rFonts w:ascii="Arial" w:hAnsi="Arial" w:eastAsia="微软雅黑" w:cs="Arial"/>
          <w:b/>
          <w:bCs/>
          <w:sz w:val="21"/>
          <w:szCs w:val="21"/>
        </w:rPr>
        <w:t>技术交底书撰写人及技术联系人：</w:t>
      </w:r>
      <w:r>
        <w:rPr>
          <w:rFonts w:hint="eastAsia" w:ascii="Arial" w:hAnsi="Arial" w:eastAsia="微软雅黑" w:cs="Arial"/>
          <w:b/>
          <w:bCs/>
          <w:sz w:val="21"/>
          <w:szCs w:val="21"/>
          <w:lang w:val="en-US" w:eastAsia="zh-CN"/>
        </w:rPr>
        <w:t>王挺宇</w:t>
      </w:r>
    </w:p>
    <w:p w14:paraId="74839C56">
      <w:pPr>
        <w:spacing w:line="360" w:lineRule="auto"/>
      </w:pPr>
      <w:r>
        <w:rPr>
          <w:rFonts w:ascii="Arial" w:hAnsi="Arial" w:eastAsia="微软雅黑" w:cs="Arial"/>
          <w:b/>
          <w:bCs/>
          <w:sz w:val="21"/>
          <w:szCs w:val="21"/>
        </w:rPr>
        <w:t>电话：</w:t>
      </w:r>
      <w:r>
        <w:rPr>
          <w:rFonts w:hint="eastAsia" w:ascii="Arial" w:hAnsi="Arial" w:eastAsia="微软雅黑" w:cs="Arial"/>
          <w:b/>
          <w:bCs/>
          <w:sz w:val="21"/>
          <w:szCs w:val="21"/>
          <w:lang w:val="en-US" w:eastAsia="zh-CN"/>
        </w:rPr>
        <w:t>18225082820</w:t>
      </w:r>
      <w:r>
        <w:rPr>
          <w:rFonts w:ascii="Arial" w:hAnsi="Arial" w:eastAsia="微软雅黑" w:cs="Arial"/>
          <w:b/>
          <w:bCs/>
          <w:sz w:val="21"/>
          <w:szCs w:val="21"/>
        </w:rPr>
        <w:t xml:space="preserve">  FAX: ______  E-MAIL：</w:t>
      </w:r>
      <w:r>
        <w:rPr>
          <w:rFonts w:hint="eastAsia" w:ascii="Arial" w:hAnsi="Arial" w:eastAsia="微软雅黑" w:cs="Arial"/>
          <w:b/>
          <w:bCs/>
          <w:sz w:val="21"/>
          <w:szCs w:val="21"/>
        </w:rPr>
        <w:t>tingyu.wang@tongdun.net</w:t>
      </w:r>
      <w:bookmarkStart w:id="0" w:name="_GoBack"/>
      <w:bookmarkEnd w:id="0"/>
    </w:p>
    <w:p w14:paraId="5DFA266D">
      <w:pPr>
        <w:spacing w:after="60"/>
      </w:pPr>
    </w:p>
    <w:p w14:paraId="1DD08F8D">
      <w:pPr>
        <w:spacing w:before="420" w:after="180"/>
      </w:pPr>
      <w:r>
        <w:rPr>
          <w:rFonts w:ascii="Arial" w:hAnsi="Arial" w:eastAsia="微软雅黑" w:cs="Arial"/>
          <w:b/>
          <w:bCs/>
          <w:sz w:val="21"/>
          <w:szCs w:val="21"/>
        </w:rPr>
        <w:t>术语解释</w:t>
      </w:r>
    </w:p>
    <w:p w14:paraId="20F94D08">
      <w:pPr>
        <w:spacing w:after="100" w:line="360" w:lineRule="auto"/>
        <w:ind w:firstLine="480"/>
      </w:pPr>
      <w:r>
        <w:rPr>
          <w:rFonts w:ascii="Arial" w:hAnsi="Arial" w:eastAsia="宋体" w:cs="Arial"/>
          <w:sz w:val="21"/>
          <w:szCs w:val="21"/>
        </w:rPr>
        <w:t>决策引擎：金融机构用于执行风控策略的软件系统，根据预定义的规则集和函数对业务请求进行风险判定和等级分类。</w:t>
      </w:r>
    </w:p>
    <w:p w14:paraId="096FB212">
      <w:pPr>
        <w:spacing w:after="100" w:line="360" w:lineRule="auto"/>
        <w:ind w:firstLine="480"/>
      </w:pPr>
      <w:r>
        <w:rPr>
          <w:rFonts w:ascii="Arial" w:hAnsi="Arial" w:eastAsia="宋体" w:cs="Arial"/>
          <w:sz w:val="21"/>
          <w:szCs w:val="21"/>
        </w:rPr>
        <w:t>分层执行证据：决策引擎在执行每条测试用例时产生的多层级执行数据，包括策略层决策结果、子策略层路由信息、规则集层命中详情、函数层输出值与评分、以及全组件执行日志，构成从宏观到微观的完整证据链。</w:t>
      </w:r>
    </w:p>
    <w:p w14:paraId="31158EBC">
      <w:pPr>
        <w:spacing w:after="100" w:line="360" w:lineRule="auto"/>
        <w:ind w:firstLine="480"/>
      </w:pPr>
      <w:r>
        <w:rPr>
          <w:rFonts w:ascii="Arial" w:hAnsi="Arial" w:eastAsia="宋体" w:cs="Arial"/>
          <w:sz w:val="21"/>
          <w:szCs w:val="21"/>
        </w:rPr>
        <w:t>覆盖报告：由上游策略自动化测试系统生成的结构化报告，包含规则覆盖率、函数分支覆盖率、决策流分支覆盖率、未覆盖对象列表、失败用例摘要、测试预言版本、策略版本及构建产物标识。</w:t>
      </w:r>
    </w:p>
    <w:p w14:paraId="63FA4710">
      <w:pPr>
        <w:spacing w:after="100" w:line="360" w:lineRule="auto"/>
        <w:ind w:firstLine="480"/>
      </w:pPr>
      <w:r>
        <w:rPr>
          <w:rFonts w:ascii="Arial" w:hAnsi="Arial" w:eastAsia="宋体" w:cs="Arial"/>
          <w:sz w:val="21"/>
          <w:szCs w:val="21"/>
        </w:rPr>
        <w:t>测试预期（版本锁定测试预言）：由版本锁定的策略配置文档独立生成并带有唯一版本标识的预期结果，包括每条规则应命中或未命中、函数输出的预期值范围以及决策流的路由目标。当前修复轮次只能引用并校验该版本，不得原位修改；确需变更预期时，应生成新的预言版本，经人工审核和重新锁定后启动新的测试轮次。</w:t>
      </w:r>
    </w:p>
    <w:p w14:paraId="0A91DF42">
      <w:pPr>
        <w:spacing w:after="100" w:line="360" w:lineRule="auto"/>
        <w:ind w:firstLine="480"/>
      </w:pPr>
      <w:r>
        <w:rPr>
          <w:rFonts w:ascii="Arial" w:hAnsi="Arial" w:eastAsia="宋体" w:cs="Arial"/>
          <w:sz w:val="21"/>
          <w:szCs w:val="21"/>
        </w:rPr>
        <w:t>修复补丁：针对测试失败用例生成的结构化修正方案，包含修复类型（参数修正/Mock调整/边界补充）、修改字段、旧值、新值和根因说明。修复补丁须经隔离环境验证后方可应用。</w:t>
      </w:r>
    </w:p>
    <w:p w14:paraId="79DDAE99">
      <w:pPr>
        <w:spacing w:after="100" w:line="360" w:lineRule="auto"/>
        <w:ind w:firstLine="480"/>
      </w:pPr>
      <w:r>
        <w:rPr>
          <w:rFonts w:ascii="Arial" w:hAnsi="Arial" w:eastAsia="宋体" w:cs="Arial"/>
          <w:sz w:val="21"/>
          <w:szCs w:val="21"/>
        </w:rPr>
        <w:t>闭环自动化：将触发检测、执行证据接收、质量校验、根因分析、受控修复验证和反馈传递六个阶段组织为自动循环的流程，每轮迭代以证据驱动修复、以验证约束修复，逐步收敛到全部用例通过的状态。</w:t>
      </w:r>
    </w:p>
    <w:p w14:paraId="37D660AE">
      <w:pPr>
        <w:spacing w:after="100" w:line="360" w:lineRule="auto"/>
        <w:ind w:firstLine="480"/>
      </w:pPr>
      <w:r>
        <w:rPr>
          <w:rFonts w:ascii="Arial" w:hAnsi="Arial" w:eastAsia="宋体" w:cs="Arial"/>
          <w:sz w:val="21"/>
          <w:szCs w:val="21"/>
        </w:rPr>
        <w:t>收敛：迭代修复过程趋于稳定的状态，通过多维度指标综合判定：严重问题清零、目标规则通过率达标、覆盖度不退化、且连续两轮问题总数变化幅度低于预设阈值，方可认定收敛并终止迭代。</w:t>
      </w:r>
    </w:p>
    <w:p w14:paraId="4D2E2893">
      <w:pPr>
        <w:spacing w:after="100" w:line="360" w:lineRule="auto"/>
        <w:ind w:firstLine="480"/>
      </w:pPr>
      <w:r>
        <w:rPr>
          <w:rFonts w:ascii="Arial" w:hAnsi="Arial" w:eastAsia="宋体" w:cs="Arial"/>
          <w:sz w:val="21"/>
          <w:szCs w:val="21"/>
        </w:rPr>
        <w:t>反馈驱动：将上一轮修复验证中发现的残余问题自动分类，并映射为新的修复动作，注入到下一轮的修复补丁生成过程中。</w:t>
      </w:r>
    </w:p>
    <w:p w14:paraId="670DB534">
      <w:pPr>
        <w:spacing w:after="60"/>
      </w:pPr>
    </w:p>
    <w:p w14:paraId="7B448367">
      <w:pPr>
        <w:spacing w:before="420" w:after="180"/>
      </w:pPr>
      <w:r>
        <w:rPr>
          <w:rFonts w:ascii="Arial" w:hAnsi="Arial" w:eastAsia="微软雅黑" w:cs="Arial"/>
          <w:b/>
          <w:bCs/>
          <w:sz w:val="21"/>
          <w:szCs w:val="21"/>
        </w:rPr>
        <w:t>1、介绍现有技术背景，描述已有的与本发明最相近似的实现方案</w:t>
      </w:r>
    </w:p>
    <w:p w14:paraId="70409E7A">
      <w:pPr>
        <w:spacing w:after="100" w:line="360" w:lineRule="auto"/>
        <w:ind w:firstLine="480"/>
      </w:pPr>
      <w:r>
        <w:rPr>
          <w:rFonts w:ascii="Arial" w:hAnsi="Arial" w:eastAsia="宋体" w:cs="Arial"/>
          <w:sz w:val="21"/>
          <w:szCs w:val="21"/>
        </w:rPr>
        <w:t>现有风控决策引擎策略测试采用单次执行模式：测试人员设计用例、提交执行、人工比对结果，一轮结束后即认为测试完成。然而实际测试中，首轮通过率通常远低于100%，存在大量需要排查和修正的问题——如规则入参不匹配导致目标规则未命中、预期结果模板与实际函数输出不一致、第三方数据模拟值偏差等。这些问题需要测试人员逐一分析根因、手工修改用例、重新提交执行，形成低效的"人工排查-手工修改-重新执行"循环。</w:t>
      </w:r>
    </w:p>
    <w:p w14:paraId="2A86FA72">
      <w:pPr>
        <w:spacing w:after="100" w:line="360" w:lineRule="auto"/>
        <w:ind w:firstLine="480"/>
      </w:pPr>
      <w:r>
        <w:rPr>
          <w:rFonts w:ascii="Arial" w:hAnsi="Arial" w:eastAsia="宋体" w:cs="Arial"/>
          <w:sz w:val="21"/>
          <w:szCs w:val="21"/>
        </w:rPr>
        <w:t>上述模式存在以下技术问题：</w:t>
      </w:r>
    </w:p>
    <w:p w14:paraId="5BECD2D7">
      <w:pPr>
        <w:spacing w:after="100" w:line="360" w:lineRule="auto"/>
        <w:ind w:firstLine="480"/>
      </w:pPr>
      <w:r>
        <w:rPr>
          <w:rFonts w:ascii="Arial" w:hAnsi="Arial" w:eastAsia="宋体" w:cs="Arial"/>
          <w:sz w:val="21"/>
          <w:szCs w:val="21"/>
        </w:rPr>
        <w:t>（1）缺乏自动化的问题归因机制：测试结果中的问题类型多样（参数错误、预期值偏差、版本不一致、语义重复等），需要测试人员凭借经验逐一判断根因，缺乏系统化的自动分类和归因能力。</w:t>
      </w:r>
    </w:p>
    <w:p w14:paraId="083CF75B">
      <w:pPr>
        <w:spacing w:after="100" w:line="360" w:lineRule="auto"/>
        <w:ind w:firstLine="480"/>
      </w:pPr>
      <w:r>
        <w:rPr>
          <w:rFonts w:ascii="Arial" w:hAnsi="Arial" w:eastAsia="宋体" w:cs="Arial"/>
          <w:sz w:val="21"/>
          <w:szCs w:val="21"/>
        </w:rPr>
        <w:t>（2）缺乏反馈到修复的自动通道：即使人工识别了问题根因，修正操作（如修改入参值、调整预期结果、补充边界用例等）仍需手工完成，无法将分析结论自动转化为受控的修复补丁。</w:t>
      </w:r>
    </w:p>
    <w:p w14:paraId="4E78A2AA">
      <w:pPr>
        <w:spacing w:after="100" w:line="360" w:lineRule="auto"/>
        <w:ind w:firstLine="480"/>
      </w:pPr>
      <w:r>
        <w:rPr>
          <w:rFonts w:ascii="Arial" w:hAnsi="Arial" w:eastAsia="宋体" w:cs="Arial"/>
          <w:sz w:val="21"/>
          <w:szCs w:val="21"/>
        </w:rPr>
        <w:t>（3）缺乏收敛判定机制：测试人员无法客观判断当前测试结果是否已经足够好、是否可以停止迭代，往往依赖主观感觉决定"再跑一轮"还是"差不多了"，导致要么过早终止遗漏问题，要么过度测试浪费资源。</w:t>
      </w:r>
    </w:p>
    <w:p w14:paraId="7B8AB421">
      <w:pPr>
        <w:spacing w:after="100" w:line="360" w:lineRule="auto"/>
        <w:ind w:firstLine="480"/>
      </w:pPr>
      <w:r>
        <w:rPr>
          <w:rFonts w:ascii="Arial" w:hAnsi="Arial" w:eastAsia="宋体" w:cs="Arial"/>
          <w:sz w:val="21"/>
          <w:szCs w:val="21"/>
        </w:rPr>
        <w:t>（4）修复过程缺乏安全约束：现有方法在修复测试失败时缺乏对修复范围的明确约束，可能出现修改预期结果以掩盖真实缺陷、删除持续失败用例以回避问题、或直接修改检测策略等不安全操作。</w:t>
      </w:r>
    </w:p>
    <w:p w14:paraId="67A23FA0">
      <w:pPr>
        <w:spacing w:after="60"/>
      </w:pPr>
    </w:p>
    <w:p w14:paraId="26A9B34A">
      <w:pPr>
        <w:spacing w:after="100" w:line="360" w:lineRule="auto"/>
        <w:ind w:firstLine="480"/>
      </w:pPr>
      <w:r>
        <w:rPr>
          <w:rFonts w:ascii="Arial" w:hAnsi="Arial" w:eastAsia="宋体" w:cs="Arial"/>
          <w:sz w:val="21"/>
          <w:szCs w:val="21"/>
        </w:rPr>
        <w:t>本发明提出一种基于版本锁定测试预言和分层执行证据的风控测试用例受控修复方法。本方法仅接收由上游策略自动化测试系统输出的分层执行证据和覆盖报告，通过证据质量校验、根因分析、候选补丁生成及隔离验证，输出经过验证的修复补丁；策略配置文档解析、初始测试用例生成、初始批量执行和分层证据采集均由上游系统完成，不属于本方法的处理步骤。</w:t>
      </w:r>
    </w:p>
    <w:p w14:paraId="67E4DB8F">
      <w:pPr>
        <w:spacing w:after="100" w:line="360" w:lineRule="auto"/>
        <w:ind w:firstLine="480"/>
      </w:pPr>
      <w:r>
        <w:rPr>
          <w:rFonts w:ascii="Arial" w:hAnsi="Arial" w:eastAsia="宋体" w:cs="Arial"/>
          <w:sz w:val="21"/>
          <w:szCs w:val="21"/>
        </w:rPr>
        <w:t>核心原理是"证据驱动修复、验证约束修复"：每轮迭代接收执行证据后，首先对覆盖报告和分层执行证据执行多维度质量校验，将问题自动分类（7种问题模式），每种模式映射到特定的处置动作（6类处置动作，其中3类可自动执行、3类必须进入人工审核或调查流程）；修复动作在"当前测试预言版本不得原位修改"的约束下生成修复补丁，补丁须在隔离环境中通过目标通过、无回归、覆盖不下降三重验证；修复结果反馈到下一轮，实现修复质量的逐轮提升和人工介入的逐步递减。</w:t>
      </w:r>
    </w:p>
    <w:p w14:paraId="3837129D">
      <w:pPr>
        <w:spacing w:after="100" w:line="360" w:lineRule="auto"/>
        <w:ind w:firstLine="480"/>
      </w:pPr>
      <w:r>
        <w:rPr>
          <w:rFonts w:ascii="Arial" w:hAnsi="Arial" w:eastAsia="宋体" w:cs="Arial"/>
          <w:sz w:val="21"/>
          <w:szCs w:val="21"/>
        </w:rPr>
        <w:t>收敛判定采用三级机制：轻微问题自动继续修复、连续两轮问题数变化低于阈值判定收敛、严重问题暂停等待人工介入。配合人工介入量从高到低的递减模型，使修复过程在前2-3轮快速收敛到几乎全自动的状态。</w:t>
      </w:r>
    </w:p>
    <w:p w14:paraId="64BC46A8">
      <w:pPr>
        <w:spacing w:after="60"/>
      </w:pPr>
    </w:p>
    <w:p w14:paraId="027CEC9F">
      <w:pPr>
        <w:spacing w:after="100" w:line="360" w:lineRule="auto"/>
        <w:ind w:firstLine="480"/>
      </w:pPr>
      <w:r>
        <w:rPr>
          <w:rFonts w:ascii="Arial" w:hAnsi="Arial" w:eastAsia="宋体" w:cs="Arial"/>
          <w:sz w:val="21"/>
          <w:szCs w:val="21"/>
        </w:rPr>
        <w:t>在软件测试领域，自动化测试框架（如Selenium、JUnit、pytest等）已广泛应用于Web应用和API接口的自动化测试。这些框架解决了"自动执行"的问题，但不涉及"自动修正"——当测试失败时，框架仅报告失败结果，不会自动分析原因并修改测试用例重新执行。</w:t>
      </w:r>
    </w:p>
    <w:p w14:paraId="17E6E1B1">
      <w:pPr>
        <w:spacing w:after="100" w:line="360" w:lineRule="auto"/>
        <w:ind w:firstLine="480"/>
      </w:pPr>
      <w:r>
        <w:rPr>
          <w:rFonts w:ascii="Arial" w:hAnsi="Arial" w:eastAsia="宋体" w:cs="Arial"/>
          <w:sz w:val="21"/>
          <w:szCs w:val="21"/>
        </w:rPr>
        <w:t>在持续集成/持续部署（CI/CD）领域，Jenkins、GitLab CI等工具支持自动化构建-测试-部署流水线，当测试失败时自动回滚或发送通知。但这类工具的"自动回滚"是系统级的操作（回退到上一个版本），不涉及对测试用例本身的内容级修正。</w:t>
      </w:r>
    </w:p>
    <w:p w14:paraId="36CB6A0D">
      <w:pPr>
        <w:spacing w:after="100" w:line="360" w:lineRule="auto"/>
        <w:ind w:firstLine="480"/>
      </w:pPr>
      <w:r>
        <w:rPr>
          <w:rFonts w:ascii="Arial" w:hAnsi="Arial" w:eastAsia="宋体" w:cs="Arial"/>
          <w:sz w:val="21"/>
          <w:szCs w:val="21"/>
        </w:rPr>
        <w:t>在基于模型的测试（Model-Based Testing）领域，现有方法可以从形式化模型自动生成测试路径和测试用例，但当测试失败时，修正操作仍依赖人工。没有现有技术方案能够将测试失败的分析结论自动反馈到用例生成环节，形成闭环迭代。</w:t>
      </w:r>
    </w:p>
    <w:p w14:paraId="51553730">
      <w:pPr>
        <w:spacing w:after="100" w:line="360" w:lineRule="auto"/>
        <w:ind w:firstLine="480"/>
      </w:pPr>
      <w:r>
        <w:rPr>
          <w:rFonts w:ascii="Arial" w:hAnsi="Arial" w:eastAsia="宋体" w:cs="Arial"/>
          <w:sz w:val="21"/>
          <w:szCs w:val="21"/>
        </w:rPr>
        <w:t>在AI辅助测试领域，近年来出现了利用大语言模型辅助生成测试用例和修复测试代码的研究。但这些方法侧重于代码级测试（单元测试、集成测试），不涉及风控决策引擎这种基于规则集和函数的业务逻辑测试，也没有建立质量问题到修复动作的系统化映射机制。</w:t>
      </w:r>
    </w:p>
    <w:p w14:paraId="24785D86">
      <w:pPr>
        <w:spacing w:after="100" w:line="360" w:lineRule="auto"/>
        <w:ind w:firstLine="480"/>
      </w:pPr>
      <w:r>
        <w:rPr>
          <w:rFonts w:ascii="Arial" w:hAnsi="Arial" w:eastAsia="宋体" w:cs="Arial"/>
          <w:sz w:val="21"/>
          <w:szCs w:val="21"/>
        </w:rPr>
        <w:t>因此，目前尚无一种能够自动完成"测试→校验→分析→修正→重新测试"完整闭环的风控策略测试方法。</w:t>
      </w:r>
    </w:p>
    <w:p w14:paraId="7FF5EAE9">
      <w:pPr>
        <w:spacing w:after="60"/>
      </w:pPr>
    </w:p>
    <w:p w14:paraId="3A298CA9">
      <w:pPr>
        <w:spacing w:before="420" w:after="180"/>
      </w:pPr>
      <w:r>
        <w:rPr>
          <w:rFonts w:ascii="Arial" w:hAnsi="Arial" w:eastAsia="微软雅黑" w:cs="Arial"/>
          <w:b/>
          <w:bCs/>
          <w:sz w:val="21"/>
          <w:szCs w:val="21"/>
        </w:rPr>
        <w:t>2、现有技术的缺点是什么？针对这些缺点，说明本发明的目的</w:t>
      </w:r>
    </w:p>
    <w:p w14:paraId="1E784332">
      <w:pPr>
        <w:spacing w:after="100" w:line="360" w:lineRule="auto"/>
        <w:ind w:firstLine="480"/>
      </w:pPr>
      <w:r>
        <w:rPr>
          <w:rFonts w:ascii="Arial" w:hAnsi="Arial" w:eastAsia="宋体" w:cs="Arial"/>
          <w:sz w:val="21"/>
          <w:szCs w:val="21"/>
        </w:rPr>
        <w:t>现有技术的缺点在于：（1）测试执行与问题修复是割裂的两个过程，缺乏自动化的反馈通道；（2）质量问题的归因完全依赖人工经验，缺乏基于执行证据的系统化分类和映射机制；（3）迭代何时终止缺乏客观判定标准；（4）修复过程缺乏安全约束，可能掩盖真实缺陷。</w:t>
      </w:r>
    </w:p>
    <w:p w14:paraId="47EE7C59">
      <w:pPr>
        <w:spacing w:after="100" w:line="360" w:lineRule="auto"/>
        <w:ind w:firstLine="480"/>
      </w:pPr>
      <w:r>
        <w:rPr>
          <w:rFonts w:ascii="Arial" w:hAnsi="Arial" w:eastAsia="宋体" w:cs="Arial"/>
          <w:sz w:val="21"/>
          <w:szCs w:val="21"/>
        </w:rPr>
        <w:t>本发明的目的是提供一种基于版本锁定测试预言和分层执行证据的风控测试用例受控修复方法，以分层执行证据和覆盖报告为输入，在不执行上游文档解析、初始用例生成和初始测试执行的前提下，完成证据质量校验、根因定位、候选补丁生成、外部隔离重执行验证和多维度收敛控制，输出经过验证的修复补丁。</w:t>
      </w:r>
    </w:p>
    <w:p w14:paraId="18DE5042">
      <w:pPr>
        <w:spacing w:after="60"/>
      </w:pPr>
    </w:p>
    <w:p w14:paraId="2008B443">
      <w:pPr>
        <w:spacing w:before="420" w:after="180"/>
      </w:pPr>
      <w:r>
        <w:rPr>
          <w:rFonts w:ascii="Arial" w:hAnsi="Arial" w:eastAsia="微软雅黑" w:cs="Arial"/>
          <w:b/>
          <w:bCs/>
          <w:sz w:val="21"/>
          <w:szCs w:val="21"/>
        </w:rPr>
        <w:t>3、本发明技术方案的详细阐述（附图、工作原理等）</w:t>
      </w:r>
    </w:p>
    <w:p w14:paraId="0218ACF0">
      <w:pPr>
        <w:spacing w:before="300" w:after="140" w:line="360" w:lineRule="auto"/>
      </w:pPr>
      <w:r>
        <w:rPr>
          <w:rFonts w:ascii="Arial" w:hAnsi="Arial" w:eastAsia="微软雅黑" w:cs="Arial"/>
          <w:b/>
          <w:bCs/>
          <w:sz w:val="21"/>
          <w:szCs w:val="21"/>
        </w:rPr>
        <w:t>（1）系统模块组成</w:t>
      </w:r>
    </w:p>
    <w:p w14:paraId="7DBF81E6">
      <w:pPr>
        <w:spacing w:after="100" w:line="360" w:lineRule="auto"/>
        <w:ind w:firstLine="480"/>
      </w:pPr>
      <w:r>
        <w:rPr>
          <w:rFonts w:ascii="Arial" w:hAnsi="Arial" w:eastAsia="宋体" w:cs="Arial"/>
          <w:sz w:val="21"/>
          <w:szCs w:val="21"/>
        </w:rPr>
        <w:t>本发明的闭环自动化系统包含以下模块：</w:t>
      </w:r>
    </w:p>
    <w:p w14:paraId="5F1A2500">
      <w:pPr>
        <w:spacing w:after="100" w:line="360" w:lineRule="auto"/>
        <w:ind w:firstLine="480"/>
      </w:pPr>
      <w:r>
        <w:rPr>
          <w:rFonts w:ascii="Arial" w:hAnsi="Arial" w:eastAsia="宋体" w:cs="Arial"/>
          <w:sz w:val="21"/>
          <w:szCs w:val="21"/>
        </w:rPr>
        <w:t>a. 触发检测模块：负责检测是否有新的执行证据可供分析，支持策略版本变更自动检测（对比当前版本号与历史执行记录）和手动触发两种方式。</w:t>
      </w:r>
    </w:p>
    <w:p w14:paraId="665EA3E1">
      <w:pPr>
        <w:spacing w:after="100" w:line="360" w:lineRule="auto"/>
        <w:ind w:firstLine="480"/>
      </w:pPr>
      <w:r>
        <w:rPr>
          <w:rFonts w:ascii="Arial" w:hAnsi="Arial" w:eastAsia="宋体" w:cs="Arial"/>
          <w:sz w:val="21"/>
          <w:szCs w:val="21"/>
        </w:rPr>
        <w:t>b. 证据接收与结构化模块：负责接收上游策略自动化测试系统输出的分层执行证据和覆盖报告，校验测试预言版本、策略版本、构建产物标识、用例编号和执行记录标识的一致性，为后续质量校验和根因分析提供标准化输入。</w:t>
      </w:r>
    </w:p>
    <w:p w14:paraId="7E60F9B0">
      <w:pPr>
        <w:spacing w:after="100" w:line="360" w:lineRule="auto"/>
        <w:ind w:firstLine="480"/>
      </w:pPr>
      <w:r>
        <w:rPr>
          <w:rFonts w:ascii="Arial" w:hAnsi="Arial" w:eastAsia="宋体" w:cs="Arial"/>
          <w:sz w:val="21"/>
          <w:szCs w:val="21"/>
        </w:rPr>
        <w:t>c. 质量校验模块：负责对覆盖报告和分层执行证据执行4维度质量检查（判定一致性、数据完整性、语义重复检测、实际结果质量），输出带标注的检查报告和结构化JSON摘要。</w:t>
      </w:r>
    </w:p>
    <w:p w14:paraId="6AF1C746">
      <w:pPr>
        <w:spacing w:after="100" w:line="360" w:lineRule="auto"/>
        <w:ind w:firstLine="480"/>
      </w:pPr>
      <w:r>
        <w:rPr>
          <w:rFonts w:ascii="Arial" w:hAnsi="Arial" w:eastAsia="宋体" w:cs="Arial"/>
          <w:sz w:val="21"/>
          <w:szCs w:val="21"/>
        </w:rPr>
        <w:t>d. 受控修复验证模块：负责基于分层执行证据进行根因分析，在当前测试预言版本不得原位修改的约束下生成候选修复补丁，并调用上游测试系统提供的外部隔离重执行接口验证补丁；涉及预期变更、用例删除或检测策略变更时进入人工审核门禁。</w:t>
      </w:r>
    </w:p>
    <w:p w14:paraId="637E607C">
      <w:pPr>
        <w:spacing w:after="100" w:line="360" w:lineRule="auto"/>
        <w:ind w:firstLine="480"/>
      </w:pPr>
      <w:r>
        <w:rPr>
          <w:rFonts w:ascii="Arial" w:hAnsi="Arial" w:eastAsia="宋体" w:cs="Arial"/>
          <w:sz w:val="21"/>
          <w:szCs w:val="21"/>
        </w:rPr>
        <w:t>e. 反馈优化模块：负责分析质量校验和修复验证的结果，将残余问题自动分类为7种模式，映射到6类处置动作（3类自动执行、3类进入人工审核或调查流程），生成结构化反馈文件传递给下一轮的修复补丁生成。</w:t>
      </w:r>
    </w:p>
    <w:p w14:paraId="35898101">
      <w:pPr>
        <w:spacing w:after="100" w:line="360" w:lineRule="auto"/>
        <w:ind w:firstLine="480"/>
      </w:pPr>
      <w:r>
        <w:rPr>
          <w:rFonts w:ascii="Arial" w:hAnsi="Arial" w:eastAsia="宋体" w:cs="Arial"/>
          <w:sz w:val="21"/>
          <w:szCs w:val="21"/>
        </w:rPr>
        <w:t>f. 收敛控制模块：负责根据三级收敛条件判断是否终止迭代，并管理迭代工作目录和收敛追踪记录。</w:t>
      </w:r>
    </w:p>
    <w:p w14:paraId="26ACC4A6">
      <w:pPr>
        <w:spacing w:after="60"/>
      </w:pPr>
    </w:p>
    <w:p w14:paraId="66EC01AD">
      <w:pPr>
        <w:keepNext/>
        <w:keepLines/>
        <w:spacing w:before="300" w:after="120" w:line="5155" w:lineRule="atLeast"/>
        <w:jc w:val="center"/>
      </w:pPr>
      <w:r>
        <w:drawing>
          <wp:inline distT="0" distB="0" distL="0" distR="0">
            <wp:extent cx="3810000" cy="3019425"/>
            <wp:effectExtent l="0" t="0" r="0" b="0"/>
            <wp:docPr id="1" name="loop_fig1_closed_loop.png" descr="loop_fig1_closed_loop.png" title="loop_fig1_closed_lo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op_fig1_closed_loop.png" descr="loop_fig1_closed_loop.png" title="loop_fig1_closed_loop.png"/>
                    <pic:cNvPicPr>
                      <a:picLocks noChangeAspect="1" noChangeArrowheads="1"/>
                    </pic:cNvPicPr>
                  </pic:nvPicPr>
                  <pic:blipFill>
                    <a:blip r:embed="rId6"/>
                    <a:srcRect/>
                    <a:stretch>
                      <a:fillRect/>
                    </a:stretch>
                  </pic:blipFill>
                  <pic:spPr>
                    <a:xfrm>
                      <a:off x="0" y="0"/>
                      <a:ext cx="3810000" cy="3019425"/>
                    </a:xfrm>
                    <a:prstGeom prst="rect">
                      <a:avLst/>
                    </a:prstGeom>
                  </pic:spPr>
                </pic:pic>
              </a:graphicData>
            </a:graphic>
          </wp:inline>
        </w:drawing>
      </w:r>
    </w:p>
    <w:p w14:paraId="348A997F">
      <w:pPr>
        <w:keepNext w:val="0"/>
        <w:spacing w:before="60" w:after="240"/>
        <w:jc w:val="center"/>
      </w:pPr>
      <w:r>
        <w:rPr>
          <w:rFonts w:ascii="Arial" w:hAnsi="Arial" w:eastAsia="宋体" w:cs="Arial"/>
          <w:sz w:val="21"/>
          <w:szCs w:val="21"/>
        </w:rPr>
        <w:t>图1  闭环迭代总流程图</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200"/>
        <w:gridCol w:w="6026"/>
      </w:tblGrid>
      <w:tr w14:paraId="06A14203">
        <w:tc>
          <w:tcPr>
            <w:tcW w:w="800" w:type="dxa"/>
            <w:tcBorders>
              <w:top w:val="single" w:color="999999" w:sz="0" w:space="0"/>
              <w:left w:val="single" w:color="999999" w:sz="0" w:space="0"/>
              <w:bottom w:val="single" w:color="999999" w:sz="0" w:space="0"/>
              <w:right w:val="single" w:color="999999" w:sz="0" w:space="0"/>
            </w:tcBorders>
            <w:shd w:val="clear" w:color="auto" w:fill="4472C4"/>
            <w:vAlign w:val="center"/>
          </w:tcPr>
          <w:p w14:paraId="581C550E">
            <w:pPr>
              <w:spacing w:before="60" w:after="60"/>
              <w:jc w:val="center"/>
            </w:pPr>
            <w:r>
              <w:rPr>
                <w:rFonts w:ascii="Arial" w:hAnsi="Arial" w:eastAsia="微软雅黑" w:cs="Arial"/>
                <w:b/>
                <w:bCs/>
                <w:color w:val="FFFFFF"/>
                <w:sz w:val="18"/>
                <w:szCs w:val="18"/>
              </w:rPr>
              <w:t>步骤</w:t>
            </w:r>
          </w:p>
        </w:tc>
        <w:tc>
          <w:tcPr>
            <w:tcW w:w="2200" w:type="dxa"/>
            <w:tcBorders>
              <w:top w:val="single" w:color="999999" w:sz="0" w:space="0"/>
              <w:left w:val="single" w:color="999999" w:sz="0" w:space="0"/>
              <w:bottom w:val="single" w:color="999999" w:sz="0" w:space="0"/>
              <w:right w:val="single" w:color="999999" w:sz="0" w:space="0"/>
            </w:tcBorders>
            <w:shd w:val="clear" w:color="auto" w:fill="4472C4"/>
            <w:vAlign w:val="center"/>
          </w:tcPr>
          <w:p w14:paraId="7B8A1B5A">
            <w:pPr>
              <w:spacing w:before="60" w:after="60"/>
              <w:jc w:val="center"/>
            </w:pPr>
            <w:r>
              <w:rPr>
                <w:rFonts w:ascii="Arial" w:hAnsi="Arial" w:eastAsia="微软雅黑" w:cs="Arial"/>
                <w:b/>
                <w:bCs/>
                <w:color w:val="FFFFFF"/>
                <w:sz w:val="18"/>
                <w:szCs w:val="18"/>
              </w:rPr>
              <w:t>名称</w:t>
            </w:r>
          </w:p>
        </w:tc>
        <w:tc>
          <w:tcPr>
            <w:tcW w:w="6026" w:type="dxa"/>
            <w:tcBorders>
              <w:top w:val="single" w:color="999999" w:sz="0" w:space="0"/>
              <w:left w:val="single" w:color="999999" w:sz="0" w:space="0"/>
              <w:bottom w:val="single" w:color="999999" w:sz="0" w:space="0"/>
              <w:right w:val="single" w:color="999999" w:sz="0" w:space="0"/>
            </w:tcBorders>
            <w:shd w:val="clear" w:color="auto" w:fill="4472C4"/>
            <w:vAlign w:val="center"/>
          </w:tcPr>
          <w:p w14:paraId="128D371B">
            <w:pPr>
              <w:spacing w:before="60" w:after="60"/>
              <w:jc w:val="center"/>
            </w:pPr>
            <w:r>
              <w:rPr>
                <w:rFonts w:ascii="Arial" w:hAnsi="Arial" w:eastAsia="微软雅黑" w:cs="Arial"/>
                <w:b/>
                <w:bCs/>
                <w:color w:val="FFFFFF"/>
                <w:sz w:val="18"/>
                <w:szCs w:val="18"/>
              </w:rPr>
              <w:t>说明</w:t>
            </w:r>
          </w:p>
        </w:tc>
      </w:tr>
      <w:tr w14:paraId="0610DE51">
        <w:tc>
          <w:tcPr>
            <w:tcW w:w="800" w:type="dxa"/>
            <w:tcBorders>
              <w:top w:val="single" w:color="999999" w:sz="0" w:space="0"/>
              <w:left w:val="single" w:color="999999" w:sz="0" w:space="0"/>
              <w:bottom w:val="single" w:color="999999" w:sz="0" w:space="0"/>
              <w:right w:val="single" w:color="999999" w:sz="0" w:space="0"/>
            </w:tcBorders>
            <w:vAlign w:val="center"/>
          </w:tcPr>
          <w:p w14:paraId="25A19155">
            <w:pPr>
              <w:spacing w:before="40" w:after="40"/>
              <w:jc w:val="center"/>
            </w:pPr>
            <w:r>
              <w:rPr>
                <w:rFonts w:ascii="Arial" w:hAnsi="Arial" w:eastAsia="宋体" w:cs="Arial"/>
                <w:sz w:val="18"/>
                <w:szCs w:val="18"/>
              </w:rPr>
              <w:t>R1</w:t>
            </w:r>
          </w:p>
        </w:tc>
        <w:tc>
          <w:tcPr>
            <w:tcW w:w="2200" w:type="dxa"/>
            <w:tcBorders>
              <w:top w:val="single" w:color="999999" w:sz="0" w:space="0"/>
              <w:left w:val="single" w:color="999999" w:sz="0" w:space="0"/>
              <w:bottom w:val="single" w:color="999999" w:sz="0" w:space="0"/>
              <w:right w:val="single" w:color="999999" w:sz="0" w:space="0"/>
            </w:tcBorders>
            <w:vAlign w:val="center"/>
          </w:tcPr>
          <w:p w14:paraId="0A8B39B7">
            <w:pPr>
              <w:spacing w:before="40" w:after="40"/>
              <w:ind w:left="80"/>
            </w:pPr>
            <w:r>
              <w:rPr>
                <w:rFonts w:ascii="Arial" w:hAnsi="Arial" w:eastAsia="宋体" w:cs="Arial"/>
                <w:sz w:val="18"/>
                <w:szCs w:val="18"/>
              </w:rPr>
              <w:t>触发检测</w:t>
            </w:r>
          </w:p>
        </w:tc>
        <w:tc>
          <w:tcPr>
            <w:tcW w:w="6026" w:type="dxa"/>
            <w:tcBorders>
              <w:top w:val="single" w:color="999999" w:sz="0" w:space="0"/>
              <w:left w:val="single" w:color="999999" w:sz="0" w:space="0"/>
              <w:bottom w:val="single" w:color="999999" w:sz="0" w:space="0"/>
              <w:right w:val="single" w:color="999999" w:sz="0" w:space="0"/>
            </w:tcBorders>
            <w:vAlign w:val="center"/>
          </w:tcPr>
          <w:p w14:paraId="25F61A1A">
            <w:pPr>
              <w:spacing w:before="40" w:after="40"/>
              <w:ind w:left="80"/>
            </w:pPr>
            <w:r>
              <w:rPr>
                <w:rFonts w:ascii="Arial" w:hAnsi="Arial" w:eastAsia="宋体" w:cs="Arial"/>
                <w:sz w:val="18"/>
                <w:szCs w:val="18"/>
              </w:rPr>
              <w:t>版本变更检测或手动触发，检测是否有新的执行证据可供分析</w:t>
            </w:r>
          </w:p>
        </w:tc>
      </w:tr>
      <w:tr w14:paraId="04D53AB2">
        <w:tc>
          <w:tcPr>
            <w:tcW w:w="800" w:type="dxa"/>
            <w:tcBorders>
              <w:top w:val="single" w:color="999999" w:sz="0" w:space="0"/>
              <w:left w:val="single" w:color="999999" w:sz="0" w:space="0"/>
              <w:bottom w:val="single" w:color="999999" w:sz="0" w:space="0"/>
              <w:right w:val="single" w:color="999999" w:sz="0" w:space="0"/>
            </w:tcBorders>
            <w:vAlign w:val="center"/>
          </w:tcPr>
          <w:p w14:paraId="0764F65B">
            <w:pPr>
              <w:spacing w:before="40" w:after="40"/>
              <w:jc w:val="center"/>
            </w:pPr>
            <w:r>
              <w:rPr>
                <w:rFonts w:ascii="Arial" w:hAnsi="Arial" w:eastAsia="宋体" w:cs="Arial"/>
                <w:sz w:val="18"/>
                <w:szCs w:val="18"/>
              </w:rPr>
              <w:t>R2</w:t>
            </w:r>
          </w:p>
        </w:tc>
        <w:tc>
          <w:tcPr>
            <w:tcW w:w="2200" w:type="dxa"/>
            <w:tcBorders>
              <w:top w:val="single" w:color="999999" w:sz="0" w:space="0"/>
              <w:left w:val="single" w:color="999999" w:sz="0" w:space="0"/>
              <w:bottom w:val="single" w:color="999999" w:sz="0" w:space="0"/>
              <w:right w:val="single" w:color="999999" w:sz="0" w:space="0"/>
            </w:tcBorders>
            <w:vAlign w:val="center"/>
          </w:tcPr>
          <w:p w14:paraId="7639DA93">
            <w:pPr>
              <w:spacing w:before="40" w:after="40"/>
              <w:ind w:left="80"/>
            </w:pPr>
            <w:r>
              <w:rPr>
                <w:rFonts w:ascii="Arial" w:hAnsi="Arial" w:eastAsia="宋体" w:cs="Arial"/>
                <w:sz w:val="18"/>
                <w:szCs w:val="18"/>
              </w:rPr>
              <w:t>证据接收与结构化</w:t>
            </w:r>
          </w:p>
        </w:tc>
        <w:tc>
          <w:tcPr>
            <w:tcW w:w="6026" w:type="dxa"/>
            <w:tcBorders>
              <w:top w:val="single" w:color="999999" w:sz="0" w:space="0"/>
              <w:left w:val="single" w:color="999999" w:sz="0" w:space="0"/>
              <w:bottom w:val="single" w:color="999999" w:sz="0" w:space="0"/>
              <w:right w:val="single" w:color="999999" w:sz="0" w:space="0"/>
            </w:tcBorders>
            <w:vAlign w:val="center"/>
          </w:tcPr>
          <w:p w14:paraId="66811E08">
            <w:pPr>
              <w:spacing w:before="40" w:after="40"/>
              <w:ind w:left="80"/>
            </w:pPr>
            <w:r>
              <w:rPr>
                <w:rFonts w:ascii="Arial" w:hAnsi="Arial" w:eastAsia="宋体" w:cs="Arial"/>
                <w:sz w:val="18"/>
                <w:szCs w:val="18"/>
              </w:rPr>
              <w:t>接收上游系统输出的分层执行证据和覆盖报告，进行关联与完整性校验</w:t>
            </w:r>
          </w:p>
        </w:tc>
      </w:tr>
      <w:tr w14:paraId="49BE0B97">
        <w:tc>
          <w:tcPr>
            <w:tcW w:w="800" w:type="dxa"/>
            <w:tcBorders>
              <w:top w:val="single" w:color="999999" w:sz="0" w:space="0"/>
              <w:left w:val="single" w:color="999999" w:sz="0" w:space="0"/>
              <w:bottom w:val="single" w:color="999999" w:sz="0" w:space="0"/>
              <w:right w:val="single" w:color="999999" w:sz="0" w:space="0"/>
            </w:tcBorders>
            <w:vAlign w:val="center"/>
          </w:tcPr>
          <w:p w14:paraId="2A2DF780">
            <w:pPr>
              <w:spacing w:before="40" w:after="40"/>
              <w:jc w:val="center"/>
            </w:pPr>
            <w:r>
              <w:rPr>
                <w:rFonts w:ascii="Arial" w:hAnsi="Arial" w:eastAsia="宋体" w:cs="Arial"/>
                <w:sz w:val="18"/>
                <w:szCs w:val="18"/>
              </w:rPr>
              <w:t>R3</w:t>
            </w:r>
          </w:p>
        </w:tc>
        <w:tc>
          <w:tcPr>
            <w:tcW w:w="2200" w:type="dxa"/>
            <w:tcBorders>
              <w:top w:val="single" w:color="999999" w:sz="0" w:space="0"/>
              <w:left w:val="single" w:color="999999" w:sz="0" w:space="0"/>
              <w:bottom w:val="single" w:color="999999" w:sz="0" w:space="0"/>
              <w:right w:val="single" w:color="999999" w:sz="0" w:space="0"/>
            </w:tcBorders>
            <w:vAlign w:val="center"/>
          </w:tcPr>
          <w:p w14:paraId="2DAF4E2B">
            <w:pPr>
              <w:spacing w:before="40" w:after="40"/>
              <w:ind w:left="80"/>
            </w:pPr>
            <w:r>
              <w:rPr>
                <w:rFonts w:ascii="Arial" w:hAnsi="Arial" w:eastAsia="宋体" w:cs="Arial"/>
                <w:sz w:val="18"/>
                <w:szCs w:val="18"/>
              </w:rPr>
              <w:t>质量校验与收敛判定</w:t>
            </w:r>
          </w:p>
        </w:tc>
        <w:tc>
          <w:tcPr>
            <w:tcW w:w="6026" w:type="dxa"/>
            <w:tcBorders>
              <w:top w:val="single" w:color="999999" w:sz="0" w:space="0"/>
              <w:left w:val="single" w:color="999999" w:sz="0" w:space="0"/>
              <w:bottom w:val="single" w:color="999999" w:sz="0" w:space="0"/>
              <w:right w:val="single" w:color="999999" w:sz="0" w:space="0"/>
            </w:tcBorders>
            <w:vAlign w:val="center"/>
          </w:tcPr>
          <w:p w14:paraId="589092DE">
            <w:pPr>
              <w:spacing w:before="40" w:after="40"/>
              <w:ind w:left="80"/>
            </w:pPr>
            <w:r>
              <w:rPr>
                <w:rFonts w:ascii="Arial" w:hAnsi="Arial" w:eastAsia="宋体" w:cs="Arial"/>
                <w:sz w:val="18"/>
                <w:szCs w:val="18"/>
              </w:rPr>
              <w:t>4维度质量检查→收敛判定→决定是否继续迭代</w:t>
            </w:r>
          </w:p>
        </w:tc>
      </w:tr>
      <w:tr w14:paraId="096F8DFF">
        <w:tc>
          <w:tcPr>
            <w:tcW w:w="800" w:type="dxa"/>
            <w:tcBorders>
              <w:top w:val="single" w:color="999999" w:sz="0" w:space="0"/>
              <w:left w:val="single" w:color="999999" w:sz="0" w:space="0"/>
              <w:bottom w:val="single" w:color="999999" w:sz="0" w:space="0"/>
              <w:right w:val="single" w:color="999999" w:sz="0" w:space="0"/>
            </w:tcBorders>
            <w:vAlign w:val="center"/>
          </w:tcPr>
          <w:p w14:paraId="39D9CA61">
            <w:pPr>
              <w:spacing w:before="40" w:after="40"/>
              <w:jc w:val="center"/>
            </w:pPr>
            <w:r>
              <w:rPr>
                <w:rFonts w:ascii="Arial" w:hAnsi="Arial" w:eastAsia="宋体" w:cs="Arial"/>
                <w:sz w:val="18"/>
                <w:szCs w:val="18"/>
              </w:rPr>
              <w:t>R4</w:t>
            </w:r>
          </w:p>
        </w:tc>
        <w:tc>
          <w:tcPr>
            <w:tcW w:w="2200" w:type="dxa"/>
            <w:tcBorders>
              <w:top w:val="single" w:color="999999" w:sz="0" w:space="0"/>
              <w:left w:val="single" w:color="999999" w:sz="0" w:space="0"/>
              <w:bottom w:val="single" w:color="999999" w:sz="0" w:space="0"/>
              <w:right w:val="single" w:color="999999" w:sz="0" w:space="0"/>
            </w:tcBorders>
            <w:vAlign w:val="center"/>
          </w:tcPr>
          <w:p w14:paraId="6FB4552A">
            <w:pPr>
              <w:spacing w:before="40" w:after="40"/>
              <w:ind w:left="80"/>
            </w:pPr>
            <w:r>
              <w:rPr>
                <w:rFonts w:ascii="Arial" w:hAnsi="Arial" w:eastAsia="宋体" w:cs="Arial"/>
                <w:sz w:val="18"/>
                <w:szCs w:val="18"/>
              </w:rPr>
              <w:t>受控修复与反馈优化</w:t>
            </w:r>
          </w:p>
        </w:tc>
        <w:tc>
          <w:tcPr>
            <w:tcW w:w="6026" w:type="dxa"/>
            <w:tcBorders>
              <w:top w:val="single" w:color="999999" w:sz="0" w:space="0"/>
              <w:left w:val="single" w:color="999999" w:sz="0" w:space="0"/>
              <w:bottom w:val="single" w:color="999999" w:sz="0" w:space="0"/>
              <w:right w:val="single" w:color="999999" w:sz="0" w:space="0"/>
            </w:tcBorders>
            <w:vAlign w:val="center"/>
          </w:tcPr>
          <w:p w14:paraId="187D1A58">
            <w:pPr>
              <w:spacing w:before="40" w:after="40"/>
              <w:ind w:left="80"/>
            </w:pPr>
            <w:r>
              <w:rPr>
                <w:rFonts w:ascii="Arial" w:hAnsi="Arial" w:eastAsia="宋体" w:cs="Arial"/>
                <w:sz w:val="18"/>
                <w:szCs w:val="18"/>
              </w:rPr>
              <w:t>证据驱动根因分析→受控修复验证→问题分类→反馈传递到下一轮</w:t>
            </w:r>
          </w:p>
        </w:tc>
      </w:tr>
    </w:tbl>
    <w:p w14:paraId="2E3E7179">
      <w:pPr>
        <w:spacing w:after="60"/>
      </w:pPr>
    </w:p>
    <w:p w14:paraId="46A51E6D">
      <w:pPr>
        <w:spacing w:before="300" w:after="140" w:line="360" w:lineRule="auto"/>
      </w:pPr>
      <w:r>
        <w:rPr>
          <w:rFonts w:ascii="Arial" w:hAnsi="Arial" w:eastAsia="微软雅黑" w:cs="Arial"/>
          <w:b/>
          <w:bCs/>
          <w:sz w:val="21"/>
          <w:szCs w:val="21"/>
        </w:rPr>
        <w:t>（2）步骤R1：触发检测</w:t>
      </w:r>
    </w:p>
    <w:p w14:paraId="74F2DFC8">
      <w:pPr>
        <w:spacing w:after="100" w:line="360" w:lineRule="auto"/>
        <w:ind w:firstLine="480"/>
      </w:pPr>
      <w:r>
        <w:rPr>
          <w:rFonts w:ascii="Arial" w:hAnsi="Arial" w:eastAsia="宋体" w:cs="Arial"/>
          <w:sz w:val="21"/>
          <w:szCs w:val="21"/>
        </w:rPr>
        <w:t>触发检测模块支持两种触发方式：</w:t>
      </w:r>
    </w:p>
    <w:p w14:paraId="0CCF1068">
      <w:pPr>
        <w:spacing w:after="100" w:line="360" w:lineRule="auto"/>
        <w:ind w:firstLine="480"/>
      </w:pPr>
      <w:r>
        <w:rPr>
          <w:rFonts w:ascii="Arial" w:hAnsi="Arial" w:eastAsia="宋体" w:cs="Arial"/>
          <w:sz w:val="21"/>
          <w:szCs w:val="21"/>
        </w:rPr>
        <w:t>（a）证据版本变更检测（自动触发）：读取上游证据包中的测试预言版本、策略版本、构建产物标识和执行记录标识，与上一轮已处理证据包的标识对比；存在新组合时触发修复流程并写入触发上下文。检测到版本回退、标识缺失或同一构建产物对应多个预言版本时，暂停并转入人工确认。</w:t>
      </w:r>
    </w:p>
    <w:p w14:paraId="080FD7DD">
      <w:pPr>
        <w:spacing w:after="100" w:line="360" w:lineRule="auto"/>
        <w:ind w:firstLine="480"/>
      </w:pPr>
      <w:r>
        <w:rPr>
          <w:rFonts w:ascii="Arial" w:hAnsi="Arial" w:eastAsia="宋体" w:cs="Arial"/>
          <w:sz w:val="21"/>
          <w:szCs w:val="21"/>
        </w:rPr>
        <w:t>（b）手动触发：用户提供待处理的标准化证据包路径或证据包标识，系统完成完整性和版本关联校验后启动修复流程；不接收策略配置文档或构建报告作为本方法的直接输入。</w:t>
      </w:r>
    </w:p>
    <w:p w14:paraId="270870A8">
      <w:pPr>
        <w:spacing w:after="100" w:line="360" w:lineRule="auto"/>
        <w:ind w:firstLine="480"/>
      </w:pPr>
      <w:r>
        <w:rPr>
          <w:rFonts w:ascii="Arial" w:hAnsi="Arial" w:eastAsia="宋体" w:cs="Arial"/>
          <w:sz w:val="21"/>
          <w:szCs w:val="21"/>
        </w:rPr>
        <w:t>触发检测完成后，系统创建本轮迭代的工作目录（loop_workspace/iteration_N/），用于存储本轮的所有中间产物和结果文件。</w:t>
      </w:r>
    </w:p>
    <w:p w14:paraId="2E0FB302">
      <w:pPr>
        <w:spacing w:before="300" w:after="140" w:line="360" w:lineRule="auto"/>
      </w:pPr>
      <w:r>
        <w:rPr>
          <w:rFonts w:ascii="Arial" w:hAnsi="Arial" w:eastAsia="微软雅黑" w:cs="Arial"/>
          <w:b/>
          <w:bCs/>
          <w:sz w:val="21"/>
          <w:szCs w:val="21"/>
        </w:rPr>
        <w:t>（3）步骤R2：证据接收与结构化</w:t>
      </w:r>
    </w:p>
    <w:p w14:paraId="131CCC4D">
      <w:pPr>
        <w:spacing w:after="100" w:line="360" w:lineRule="auto"/>
        <w:ind w:firstLine="480"/>
      </w:pPr>
      <w:r>
        <w:rPr>
          <w:rFonts w:ascii="Arial" w:hAnsi="Arial" w:eastAsia="宋体" w:cs="Arial"/>
          <w:sz w:val="21"/>
          <w:szCs w:val="21"/>
        </w:rPr>
        <w:t>本步骤仅接收由上游策略自动化测试系统输出的分层执行证据和覆盖报告。上游系统负责策略配置文档及构建报告解析、测试预言与测试用例生成、初始批量提交执行、多层验证和覆盖计算；本方法不重复执行上述流程，仅消费其标准化输出：</w:t>
      </w:r>
    </w:p>
    <w:p w14:paraId="477C6443">
      <w:pPr>
        <w:spacing w:after="100" w:line="360" w:lineRule="auto"/>
        <w:ind w:firstLine="480"/>
      </w:pPr>
      <w:r>
        <w:rPr>
          <w:rFonts w:ascii="Arial" w:hAnsi="Arial" w:eastAsia="宋体" w:cs="Arial"/>
          <w:sz w:val="21"/>
          <w:szCs w:val="21"/>
        </w:rPr>
        <w:t>（a）分层执行证据：包含每条测试用例在决策引擎中的五层执行数据——策略层决策结果（policyDealTypeName）、子策略层路由信息（nodeType=8的finalDecision）、规则集层命中详情（nodeType=1的hitRuleList）、函数层输出值与评分（nodeType=5的函数输出）、以及全组件执行日志（三方数据调用结果、ETL转换后的字段值、分支走向）。</w:t>
      </w:r>
    </w:p>
    <w:p w14:paraId="333F1E84">
      <w:pPr>
        <w:spacing w:after="100" w:line="360" w:lineRule="auto"/>
        <w:ind w:firstLine="480"/>
      </w:pPr>
      <w:r>
        <w:rPr>
          <w:rFonts w:ascii="Arial" w:hAnsi="Arial" w:eastAsia="宋体" w:cs="Arial"/>
          <w:sz w:val="21"/>
          <w:szCs w:val="21"/>
        </w:rPr>
        <w:t>（b）覆盖报告：包含规则覆盖率、函数分支覆盖率、决策流分支覆盖率、未覆盖对象列表、失败用例摘要，以及测试预言版本、策略版本、构建产物标识和执行记录标识。</w:t>
      </w:r>
    </w:p>
    <w:p w14:paraId="024B14A6">
      <w:pPr>
        <w:spacing w:after="100" w:line="360" w:lineRule="auto"/>
        <w:ind w:firstLine="480"/>
      </w:pPr>
      <w:r>
        <w:rPr>
          <w:rFonts w:ascii="Arial" w:hAnsi="Arial" w:eastAsia="宋体" w:cs="Arial"/>
          <w:sz w:val="21"/>
          <w:szCs w:val="21"/>
        </w:rPr>
        <w:t>证据接收模块对上述数据进行结构化预处理：统一字段命名规范、校验数据完整性（检查关键列非空、编号连续）、关联分层执行证据与覆盖报告的对应关系（通过用例编号和UUID建立映射），最终输出标准化的证据包（evidence_package），供后续质量校验和根因分析使用。</w:t>
      </w:r>
    </w:p>
    <w:p w14:paraId="44B42AF9">
      <w:pPr>
        <w:spacing w:after="100" w:line="360" w:lineRule="auto"/>
        <w:ind w:firstLine="480"/>
      </w:pPr>
      <w:r>
        <w:rPr>
          <w:rFonts w:ascii="Arial" w:hAnsi="Arial" w:eastAsia="宋体" w:cs="Arial"/>
          <w:sz w:val="21"/>
          <w:szCs w:val="21"/>
        </w:rPr>
        <w:t>若本轮非首轮迭代，证据接收模块同时加载上一轮反馈文件（feedback.json），将反馈中的修复记录与本轮证据进行关联，标记哪些用例是本轮新提交验证的修复补丁、哪些是历史已通过用例的回归验证结果。</w:t>
      </w:r>
    </w:p>
    <w:p w14:paraId="77538FE9">
      <w:pPr>
        <w:spacing w:before="300" w:after="140" w:line="360" w:lineRule="auto"/>
      </w:pPr>
      <w:r>
        <w:rPr>
          <w:rFonts w:ascii="Arial" w:hAnsi="Arial" w:eastAsia="微软雅黑" w:cs="Arial"/>
          <w:b/>
          <w:bCs/>
          <w:sz w:val="21"/>
          <w:szCs w:val="21"/>
        </w:rPr>
        <w:t>（4）步骤R3：质量校验</w:t>
      </w:r>
    </w:p>
    <w:p w14:paraId="314C9814">
      <w:pPr>
        <w:spacing w:after="100" w:line="360" w:lineRule="auto"/>
        <w:ind w:firstLine="480"/>
      </w:pPr>
      <w:r>
        <w:rPr>
          <w:rFonts w:ascii="Arial" w:hAnsi="Arial" w:eastAsia="宋体" w:cs="Arial"/>
          <w:sz w:val="21"/>
          <w:szCs w:val="21"/>
        </w:rPr>
        <w:t>对覆盖报告和分层执行证据执行4维度自动化质量检查：</w:t>
      </w:r>
    </w:p>
    <w:p w14:paraId="2451AC1B">
      <w:pPr>
        <w:spacing w:after="100" w:line="360" w:lineRule="auto"/>
        <w:ind w:firstLine="480"/>
      </w:pPr>
      <w:r>
        <w:rPr>
          <w:rFonts w:ascii="Arial" w:hAnsi="Arial" w:eastAsia="宋体" w:cs="Arial"/>
          <w:sz w:val="21"/>
          <w:szCs w:val="21"/>
        </w:rPr>
        <w:t>（a）维度一——判定一致性：检测目标规则预期命中但实际未命中却标记为"通过"的矛盾情况；检测实际结果含异常关键词（如"报异常"、"执行失败"）却标记为"通过"的异常。</w:t>
      </w:r>
    </w:p>
    <w:p w14:paraId="7CE56664">
      <w:pPr>
        <w:spacing w:after="100" w:line="360" w:lineRule="auto"/>
        <w:ind w:firstLine="480"/>
      </w:pPr>
      <w:r>
        <w:rPr>
          <w:rFonts w:ascii="Arial" w:hAnsi="Arial" w:eastAsia="宋体" w:cs="Arial"/>
          <w:sz w:val="21"/>
          <w:szCs w:val="21"/>
        </w:rPr>
        <w:t>（b）维度二——数据完整性：检查关键列（用例编号、预期结果、测试状态）的空值；检测编号连续性和重复编号；验证策略版本号一致性；检查测试时间格式统一性。</w:t>
      </w:r>
    </w:p>
    <w:p w14:paraId="50D05AE6">
      <w:pPr>
        <w:spacing w:after="100" w:line="360" w:lineRule="auto"/>
        <w:ind w:firstLine="480"/>
      </w:pPr>
      <w:r>
        <w:rPr>
          <w:rFonts w:ascii="Arial" w:hAnsi="Arial" w:eastAsia="宋体" w:cs="Arial"/>
          <w:sz w:val="21"/>
          <w:szCs w:val="21"/>
        </w:rPr>
        <w:t>（c）维度三——语义重复检测：识别同模块内预期结果完全相同的用例组（可能是边界用例与正常用例的重复）；检测名称相似度超过85%的用例对（通常是跨子策略对应规则，属于设计意图，标记保留而非消除）。</w:t>
      </w:r>
    </w:p>
    <w:p w14:paraId="7F0E38EC">
      <w:pPr>
        <w:spacing w:after="100" w:line="360" w:lineRule="auto"/>
        <w:ind w:firstLine="480"/>
      </w:pPr>
      <w:r>
        <w:rPr>
          <w:rFonts w:ascii="Arial" w:hAnsi="Arial" w:eastAsia="宋体" w:cs="Arial"/>
          <w:sz w:val="21"/>
          <w:szCs w:val="21"/>
        </w:rPr>
        <w:t>（d）维度四——实际结果质量：检查函数类用例的实际输出函数与预期目标函数是否匹配；检测规则类用例的目标规则未命中但存在伴随命中（可能为模拟数据问题）；检查预期与实际风险等级不一致的情况。</w:t>
      </w:r>
    </w:p>
    <w:p w14:paraId="3B161025">
      <w:pPr>
        <w:spacing w:after="100" w:line="360" w:lineRule="auto"/>
        <w:ind w:firstLine="480"/>
      </w:pPr>
      <w:r>
        <w:rPr>
          <w:rFonts w:ascii="Arial" w:hAnsi="Arial" w:eastAsia="宋体" w:cs="Arial"/>
          <w:sz w:val="21"/>
          <w:szCs w:val="21"/>
        </w:rPr>
        <w:t>每个发现的问题按严重程度分为三级：严重（数据错误影响报告可信度）、警告（数据可疑需人工确认）、提示（规范性问题不影响正确性）。检查结果以结构化JSON格式输出，包含问题总数、各级别分布、各维度分布等统计信息。</w:t>
      </w:r>
    </w:p>
    <w:p w14:paraId="2022CC18">
      <w:pPr>
        <w:spacing w:after="60"/>
      </w:pPr>
    </w:p>
    <w:p w14:paraId="0E7AFDA4">
      <w:pPr>
        <w:keepNext/>
        <w:keepLines/>
        <w:spacing w:before="300" w:after="120" w:line="4495" w:lineRule="atLeast"/>
        <w:jc w:val="center"/>
      </w:pPr>
      <w:r>
        <w:drawing>
          <wp:inline distT="0" distB="0" distL="0" distR="0">
            <wp:extent cx="3810000" cy="2600325"/>
            <wp:effectExtent l="0" t="0" r="0" b="0"/>
            <wp:docPr id="2" name="loop_fig2_convergence.png" descr="loop_fig2_convergence.png" title="loop_fig2_converg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op_fig2_convergence.png" descr="loop_fig2_convergence.png" title="loop_fig2_convergence.png"/>
                    <pic:cNvPicPr>
                      <a:picLocks noChangeAspect="1" noChangeArrowheads="1"/>
                    </pic:cNvPicPr>
                  </pic:nvPicPr>
                  <pic:blipFill>
                    <a:blip r:embed="rId7"/>
                    <a:srcRect/>
                    <a:stretch>
                      <a:fillRect/>
                    </a:stretch>
                  </pic:blipFill>
                  <pic:spPr>
                    <a:xfrm>
                      <a:off x="0" y="0"/>
                      <a:ext cx="3810000" cy="2600325"/>
                    </a:xfrm>
                    <a:prstGeom prst="rect">
                      <a:avLst/>
                    </a:prstGeom>
                  </pic:spPr>
                </pic:pic>
              </a:graphicData>
            </a:graphic>
          </wp:inline>
        </w:drawing>
      </w:r>
    </w:p>
    <w:p w14:paraId="62C666B7">
      <w:pPr>
        <w:keepNext w:val="0"/>
        <w:spacing w:before="60" w:after="240"/>
        <w:jc w:val="center"/>
      </w:pPr>
      <w:r>
        <w:rPr>
          <w:rFonts w:ascii="Arial" w:hAnsi="Arial" w:eastAsia="宋体" w:cs="Arial"/>
          <w:sz w:val="21"/>
          <w:szCs w:val="21"/>
        </w:rPr>
        <w:t>图2  收敛检测模型</w:t>
      </w:r>
    </w:p>
    <w:p w14:paraId="040D1B3D">
      <w:pPr>
        <w:spacing w:after="100" w:line="360" w:lineRule="auto"/>
        <w:ind w:firstLine="480"/>
      </w:pPr>
      <w:r>
        <w:rPr>
          <w:rFonts w:ascii="Arial" w:hAnsi="Arial" w:eastAsia="微软雅黑" w:cs="Arial"/>
          <w:b/>
          <w:bCs/>
          <w:sz w:val="21"/>
          <w:szCs w:val="21"/>
        </w:rPr>
        <w:t>收敛判定</w:t>
      </w:r>
    </w:p>
    <w:p w14:paraId="7EFC8841">
      <w:pPr>
        <w:spacing w:after="100" w:line="360" w:lineRule="auto"/>
        <w:ind w:firstLine="480"/>
      </w:pPr>
      <w:r>
        <w:rPr>
          <w:rFonts w:ascii="Arial" w:hAnsi="Arial" w:eastAsia="宋体" w:cs="Arial"/>
          <w:sz w:val="21"/>
          <w:szCs w:val="21"/>
        </w:rPr>
        <w:t>质量校验完成后，系统根据多维度收敛条件决定下一步操作：</w:t>
      </w:r>
    </w:p>
    <w:p w14:paraId="0120BCBD">
      <w:pPr>
        <w:spacing w:after="100" w:line="360" w:lineRule="auto"/>
        <w:ind w:firstLine="480"/>
      </w:pPr>
      <w:r>
        <w:rPr>
          <w:rFonts w:ascii="Arial" w:hAnsi="Arial" w:eastAsia="宋体" w:cs="Arial"/>
          <w:sz w:val="21"/>
          <w:szCs w:val="21"/>
        </w:rPr>
        <w:t>（a）自动继续：当严重问题数为0且警告数少于10个时，自动进入反馈优化步骤（R4），继续下一轮迭代。</w:t>
      </w:r>
    </w:p>
    <w:p w14:paraId="4EEE4D55">
      <w:pPr>
        <w:spacing w:after="100" w:line="360" w:lineRule="auto"/>
        <w:ind w:firstLine="480"/>
      </w:pPr>
      <w:r>
        <w:rPr>
          <w:rFonts w:ascii="Arial" w:hAnsi="Arial" w:eastAsia="宋体" w:cs="Arial"/>
          <w:sz w:val="21"/>
          <w:szCs w:val="21"/>
        </w:rPr>
        <w:t>（b）收敛终止：需同时满足以下四个条件方可判定收敛——（b-1）严重问题数为0（无影响报告可信度的数据错误）；（b-2）目标规则通过率不低于99%（即失败用例占比≤1%）；（b-3）规则覆盖度和决策流分支覆盖度不低于首轮基线（无覆盖退化）；（b-4）连续两轮的问题总数变化幅度低于5%（问题数量趋于稳定）。四个条件全部满足时终止迭代并输出修复结果及经过验证的修复补丁。</w:t>
      </w:r>
    </w:p>
    <w:p w14:paraId="587BA693">
      <w:pPr>
        <w:spacing w:after="100" w:line="360" w:lineRule="auto"/>
        <w:ind w:firstLine="480"/>
      </w:pPr>
      <w:r>
        <w:rPr>
          <w:rFonts w:ascii="Arial" w:hAnsi="Arial" w:eastAsia="宋体" w:cs="Arial"/>
          <w:sz w:val="21"/>
          <w:szCs w:val="21"/>
        </w:rPr>
        <w:t>（c）暂停等待：当严重问题数大于0时，暂停迭代循环，等待人工介入修复后继续。</w:t>
      </w:r>
    </w:p>
    <w:p w14:paraId="2E3BEF9A">
      <w:pPr>
        <w:spacing w:after="100" w:line="360" w:lineRule="auto"/>
        <w:ind w:firstLine="480"/>
      </w:pPr>
      <w:r>
        <w:rPr>
          <w:rFonts w:ascii="Arial" w:hAnsi="Arial" w:eastAsia="宋体" w:cs="Arial"/>
          <w:sz w:val="21"/>
          <w:szCs w:val="21"/>
        </w:rPr>
        <w:t>收敛追踪记录（convergence.json）保存每轮迭代的多维度指标数据（用例数、问题数、严重/警告/提示分布、目标规则通过率、规则覆盖度、决策流分支覆盖度），用于收敛判定和事后分析。</w:t>
      </w:r>
    </w:p>
    <w:p w14:paraId="0D2FB904">
      <w:pPr>
        <w:spacing w:before="300" w:after="140" w:line="360" w:lineRule="auto"/>
      </w:pPr>
      <w:r>
        <w:rPr>
          <w:rFonts w:ascii="Arial" w:hAnsi="Arial" w:eastAsia="微软雅黑" w:cs="Arial"/>
          <w:b/>
          <w:bCs/>
          <w:sz w:val="21"/>
          <w:szCs w:val="21"/>
        </w:rPr>
        <w:t>（5）步骤R4：受控修复与反馈优化</w:t>
      </w:r>
    </w:p>
    <w:p w14:paraId="35F3758F">
      <w:pPr>
        <w:spacing w:after="100" w:line="360" w:lineRule="auto"/>
        <w:ind w:firstLine="480"/>
      </w:pPr>
      <w:r>
        <w:rPr>
          <w:rFonts w:ascii="Arial" w:hAnsi="Arial" w:eastAsia="宋体" w:cs="Arial"/>
          <w:sz w:val="21"/>
          <w:szCs w:val="21"/>
        </w:rPr>
        <w:t>本步骤是闭环迭代的核心环节，包含两个子阶段：首先基于分层执行证据进行受控修复验证，然后将残余问题分类映射为反馈动作传递到下一轮。</w:t>
      </w:r>
    </w:p>
    <w:p w14:paraId="638C943D">
      <w:pPr>
        <w:spacing w:after="60"/>
      </w:pPr>
    </w:p>
    <w:p w14:paraId="553C9EEE">
      <w:pPr>
        <w:spacing w:after="100" w:line="360" w:lineRule="auto"/>
        <w:ind w:firstLine="480"/>
      </w:pPr>
      <w:r>
        <w:rPr>
          <w:rFonts w:ascii="Arial" w:hAnsi="Arial" w:eastAsia="微软雅黑" w:cs="Arial"/>
          <w:b/>
          <w:bCs/>
          <w:sz w:val="21"/>
          <w:szCs w:val="21"/>
        </w:rPr>
        <w:t>R4a：受控修复验证</w:t>
      </w:r>
    </w:p>
    <w:p w14:paraId="4ECEC1DE">
      <w:pPr>
        <w:spacing w:after="100" w:line="360" w:lineRule="auto"/>
        <w:ind w:firstLine="480"/>
      </w:pPr>
      <w:r>
        <w:rPr>
          <w:rFonts w:ascii="Arial" w:hAnsi="Arial" w:eastAsia="宋体" w:cs="Arial"/>
          <w:sz w:val="21"/>
          <w:szCs w:val="21"/>
        </w:rPr>
        <w:t>对质量校验步骤（R3）识别出的失败用例和异常用例，基于R2接收的分层执行证据进行根因定位并生成候选修复补丁。当前预言版本在本轮中不可修改，允许自动调整的范围限定为测试参数、第三方数据模拟配置和调用参数；候选补丁通过上游测试系统提供的外部隔离重执行接口进行验证，并同时满足目标通过、历史回归不退化和覆盖不下降。</w:t>
      </w:r>
    </w:p>
    <w:p w14:paraId="6A04D5CE">
      <w:pPr>
        <w:spacing w:after="100" w:line="360" w:lineRule="auto"/>
        <w:ind w:firstLine="480"/>
      </w:pPr>
      <w:r>
        <w:rPr>
          <w:rFonts w:ascii="Arial" w:hAnsi="Arial" w:eastAsia="宋体" w:cs="Arial"/>
          <w:sz w:val="21"/>
          <w:szCs w:val="21"/>
        </w:rPr>
        <w:t>本阶段在闭环迭代中的特殊性在于：（a）修复靶点由上一轮反馈文件（feedback.json）中的残余问题列表驱动，而非全量重新分析——仅针对上轮未解决的问题进行定向修复，避免重复处理已收敛的问题；（b）隔离验证的"无历史回归"基准随迭代轮次累积——第N轮的回归基准包含前N-1轮所有已验证通过的修复补丁，确保修复不产生跨轮次退化；（c）涉及预期修改的操作（判定矛盾、函数预期模板修正）不在本阶段自动执行，而是生成审核请求进入人工门禁流程，审核通过后的修改结果记录到反馈文件中供下一轮使用。</w:t>
      </w:r>
    </w:p>
    <w:p w14:paraId="04AEB7D3">
      <w:pPr>
        <w:spacing w:after="100" w:line="360" w:lineRule="auto"/>
        <w:ind w:firstLine="480"/>
      </w:pPr>
      <w:r>
        <w:rPr>
          <w:rFonts w:ascii="Arial" w:hAnsi="Arial" w:eastAsia="宋体" w:cs="Arial"/>
          <w:sz w:val="21"/>
          <w:szCs w:val="21"/>
        </w:rPr>
        <w:t>修复结果输出：每个验证通过的修复补丁记录完整的修复链路——根因分析结论、修复类型、修改字段、旧值与新值、隔离验证结果（目标通过/回归检查/覆盖度）、最终处置状态（自动应用/待人工审核/已驳回）。</w:t>
      </w:r>
    </w:p>
    <w:p w14:paraId="657A3E2A">
      <w:pPr>
        <w:spacing w:after="60"/>
      </w:pPr>
    </w:p>
    <w:p w14:paraId="41BEC249">
      <w:pPr>
        <w:spacing w:after="100" w:line="360" w:lineRule="auto"/>
        <w:ind w:firstLine="480"/>
      </w:pPr>
      <w:r>
        <w:rPr>
          <w:rFonts w:ascii="Arial" w:hAnsi="Arial" w:eastAsia="微软雅黑" w:cs="Arial"/>
          <w:b/>
          <w:bCs/>
          <w:sz w:val="21"/>
          <w:szCs w:val="21"/>
        </w:rPr>
        <w:t>R4b：反馈分类与优化</w:t>
      </w:r>
    </w:p>
    <w:p w14:paraId="37A53087">
      <w:pPr>
        <w:spacing w:after="100" w:line="360" w:lineRule="auto"/>
        <w:ind w:firstLine="480"/>
      </w:pPr>
      <w:r>
        <w:rPr>
          <w:rFonts w:ascii="Arial" w:hAnsi="Arial" w:eastAsia="宋体" w:cs="Arial"/>
          <w:sz w:val="21"/>
          <w:szCs w:val="21"/>
        </w:rPr>
        <w:t>受控修复验证完成后，反馈优化模块分析本轮残余质量问题（即修复补丁未覆盖或修复后仍不通过的用例），将问题自动分类为7种问题模式，每种模式映射到特定的处置动作，生成结构化反馈文件（feedback.json）传递给下一轮的R2步骤。</w:t>
      </w:r>
    </w:p>
    <w:p w14:paraId="7B11B6D8">
      <w:pPr>
        <w:spacing w:after="60"/>
      </w:pPr>
    </w:p>
    <w:p w14:paraId="2C7588F1">
      <w:pPr>
        <w:keepNext/>
        <w:keepLines/>
        <w:spacing w:before="300" w:after="120" w:line="4900" w:lineRule="atLeast"/>
        <w:jc w:val="center"/>
      </w:pPr>
      <w:r>
        <w:drawing>
          <wp:inline distT="0" distB="0" distL="0" distR="0">
            <wp:extent cx="3810000" cy="2857500"/>
            <wp:effectExtent l="0" t="0" r="0" b="0"/>
            <wp:docPr id="3" name="loop_fig3_feedback_mapping.png" descr="loop_fig3_feedback_mapping.png" title="loop_fig3_feedback_mapp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op_fig3_feedback_mapping.png" descr="loop_fig3_feedback_mapping.png" title="loop_fig3_feedback_mapping.png"/>
                    <pic:cNvPicPr>
                      <a:picLocks noChangeAspect="1" noChangeArrowheads="1"/>
                    </pic:cNvPicPr>
                  </pic:nvPicPr>
                  <pic:blipFill>
                    <a:blip r:embed="rId8"/>
                    <a:srcRect/>
                    <a:stretch>
                      <a:fillRect/>
                    </a:stretch>
                  </pic:blipFill>
                  <pic:spPr>
                    <a:xfrm>
                      <a:off x="0" y="0"/>
                      <a:ext cx="3810000" cy="2857500"/>
                    </a:xfrm>
                    <a:prstGeom prst="rect">
                      <a:avLst/>
                    </a:prstGeom>
                  </pic:spPr>
                </pic:pic>
              </a:graphicData>
            </a:graphic>
          </wp:inline>
        </w:drawing>
      </w:r>
    </w:p>
    <w:p w14:paraId="79772151">
      <w:pPr>
        <w:keepNext w:val="0"/>
        <w:spacing w:before="60" w:after="240"/>
        <w:jc w:val="center"/>
      </w:pPr>
      <w:r>
        <w:rPr>
          <w:rFonts w:ascii="Arial" w:hAnsi="Arial" w:eastAsia="宋体" w:cs="Arial"/>
          <w:sz w:val="21"/>
          <w:szCs w:val="21"/>
        </w:rPr>
        <w:t>图3  反馈分类与自动修复映射图</w:t>
      </w:r>
    </w:p>
    <w:p w14:paraId="3B9E4B57">
      <w:pPr>
        <w:spacing w:after="100" w:line="360" w:lineRule="auto"/>
        <w:ind w:firstLine="480"/>
      </w:pPr>
      <w:r>
        <w:rPr>
          <w:rFonts w:ascii="Arial" w:hAnsi="Arial" w:eastAsia="宋体" w:cs="Arial"/>
          <w:sz w:val="21"/>
          <w:szCs w:val="21"/>
        </w:rPr>
        <w:t>反馈分类与处置动作的映射关系如下表所示（标注★的动作涉及预期修改，须经人工审核门禁）：</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026"/>
        <w:gridCol w:w="3500"/>
      </w:tblGrid>
      <w:tr w14:paraId="63B81440">
        <w:tc>
          <w:tcPr>
            <w:tcW w:w="2500" w:type="dxa"/>
            <w:tcBorders>
              <w:top w:val="single" w:color="999999" w:sz="0" w:space="0"/>
              <w:left w:val="single" w:color="999999" w:sz="0" w:space="0"/>
              <w:bottom w:val="single" w:color="999999" w:sz="0" w:space="0"/>
              <w:right w:val="single" w:color="999999" w:sz="0" w:space="0"/>
            </w:tcBorders>
            <w:shd w:val="clear" w:color="auto" w:fill="4472C4"/>
            <w:vAlign w:val="center"/>
          </w:tcPr>
          <w:p w14:paraId="1F184299">
            <w:pPr>
              <w:spacing w:before="60" w:after="60"/>
              <w:jc w:val="center"/>
            </w:pPr>
            <w:r>
              <w:rPr>
                <w:rFonts w:ascii="Arial" w:hAnsi="Arial" w:eastAsia="微软雅黑" w:cs="Arial"/>
                <w:b/>
                <w:bCs/>
                <w:color w:val="FFFFFF"/>
                <w:sz w:val="18"/>
                <w:szCs w:val="18"/>
              </w:rPr>
              <w:t>问题模式</w:t>
            </w:r>
          </w:p>
        </w:tc>
        <w:tc>
          <w:tcPr>
            <w:tcW w:w="3026" w:type="dxa"/>
            <w:tcBorders>
              <w:top w:val="single" w:color="999999" w:sz="0" w:space="0"/>
              <w:left w:val="single" w:color="999999" w:sz="0" w:space="0"/>
              <w:bottom w:val="single" w:color="999999" w:sz="0" w:space="0"/>
              <w:right w:val="single" w:color="999999" w:sz="0" w:space="0"/>
            </w:tcBorders>
            <w:shd w:val="clear" w:color="auto" w:fill="4472C4"/>
            <w:vAlign w:val="center"/>
          </w:tcPr>
          <w:p w14:paraId="5F4C4BB3">
            <w:pPr>
              <w:spacing w:before="60" w:after="60"/>
              <w:jc w:val="center"/>
            </w:pPr>
            <w:r>
              <w:rPr>
                <w:rFonts w:ascii="Arial" w:hAnsi="Arial" w:eastAsia="微软雅黑" w:cs="Arial"/>
                <w:b/>
                <w:bCs/>
                <w:color w:val="FFFFFF"/>
                <w:sz w:val="18"/>
                <w:szCs w:val="18"/>
              </w:rPr>
              <w:t>根因分析</w:t>
            </w:r>
          </w:p>
        </w:tc>
        <w:tc>
          <w:tcPr>
            <w:tcW w:w="3500" w:type="dxa"/>
            <w:tcBorders>
              <w:top w:val="single" w:color="999999" w:sz="0" w:space="0"/>
              <w:left w:val="single" w:color="999999" w:sz="0" w:space="0"/>
              <w:bottom w:val="single" w:color="999999" w:sz="0" w:space="0"/>
              <w:right w:val="single" w:color="999999" w:sz="0" w:space="0"/>
            </w:tcBorders>
            <w:shd w:val="clear" w:color="auto" w:fill="4472C4"/>
            <w:vAlign w:val="center"/>
          </w:tcPr>
          <w:p w14:paraId="40BA564A">
            <w:pPr>
              <w:spacing w:before="60" w:after="60"/>
              <w:jc w:val="center"/>
            </w:pPr>
            <w:r>
              <w:rPr>
                <w:rFonts w:ascii="Arial" w:hAnsi="Arial" w:eastAsia="微软雅黑" w:cs="Arial"/>
                <w:b/>
                <w:bCs/>
                <w:color w:val="FFFFFF"/>
                <w:sz w:val="18"/>
                <w:szCs w:val="18"/>
              </w:rPr>
              <w:t>处置动作</w:t>
            </w:r>
          </w:p>
        </w:tc>
      </w:tr>
      <w:tr w14:paraId="7F9D3645">
        <w:tc>
          <w:tcPr>
            <w:tcW w:w="2500" w:type="dxa"/>
            <w:tcBorders>
              <w:top w:val="single" w:color="999999" w:sz="0" w:space="0"/>
              <w:left w:val="single" w:color="999999" w:sz="0" w:space="0"/>
              <w:bottom w:val="single" w:color="999999" w:sz="0" w:space="0"/>
              <w:right w:val="single" w:color="999999" w:sz="0" w:space="0"/>
            </w:tcBorders>
            <w:vAlign w:val="center"/>
          </w:tcPr>
          <w:p w14:paraId="6CCEB384">
            <w:pPr>
              <w:spacing w:before="40" w:after="40"/>
              <w:ind w:left="80"/>
            </w:pPr>
            <w:r>
              <w:rPr>
                <w:rFonts w:ascii="Arial" w:hAnsi="Arial" w:eastAsia="宋体" w:cs="Arial"/>
                <w:sz w:val="18"/>
                <w:szCs w:val="18"/>
              </w:rPr>
              <w:t>目标规则未命中</w:t>
            </w:r>
          </w:p>
        </w:tc>
        <w:tc>
          <w:tcPr>
            <w:tcW w:w="3026" w:type="dxa"/>
            <w:tcBorders>
              <w:top w:val="single" w:color="999999" w:sz="0" w:space="0"/>
              <w:left w:val="single" w:color="999999" w:sz="0" w:space="0"/>
              <w:bottom w:val="single" w:color="999999" w:sz="0" w:space="0"/>
              <w:right w:val="single" w:color="999999" w:sz="0" w:space="0"/>
            </w:tcBorders>
            <w:vAlign w:val="center"/>
          </w:tcPr>
          <w:p w14:paraId="355BDD30">
            <w:pPr>
              <w:spacing w:before="40" w:after="40"/>
              <w:ind w:left="80"/>
            </w:pPr>
            <w:r>
              <w:rPr>
                <w:rFonts w:ascii="Arial" w:hAnsi="Arial" w:eastAsia="宋体" w:cs="Arial"/>
                <w:sz w:val="18"/>
                <w:szCs w:val="18"/>
              </w:rPr>
              <w:t>模拟数据不匹配或ETL覆盖</w:t>
            </w:r>
          </w:p>
        </w:tc>
        <w:tc>
          <w:tcPr>
            <w:tcW w:w="3500" w:type="dxa"/>
            <w:tcBorders>
              <w:top w:val="single" w:color="999999" w:sz="0" w:space="0"/>
              <w:left w:val="single" w:color="999999" w:sz="0" w:space="0"/>
              <w:bottom w:val="single" w:color="999999" w:sz="0" w:space="0"/>
              <w:right w:val="single" w:color="999999" w:sz="0" w:space="0"/>
            </w:tcBorders>
            <w:vAlign w:val="center"/>
          </w:tcPr>
          <w:p w14:paraId="010B76A7">
            <w:pPr>
              <w:spacing w:before="40" w:after="40"/>
              <w:ind w:left="80"/>
            </w:pPr>
            <w:r>
              <w:rPr>
                <w:rFonts w:ascii="Arial" w:hAnsi="Arial" w:eastAsia="宋体" w:cs="Arial"/>
                <w:sz w:val="18"/>
                <w:szCs w:val="18"/>
              </w:rPr>
              <w:t>fixParams：修正入参值（自动）</w:t>
            </w:r>
          </w:p>
        </w:tc>
      </w:tr>
      <w:tr w14:paraId="00CD8A6F">
        <w:tc>
          <w:tcPr>
            <w:tcW w:w="2500" w:type="dxa"/>
            <w:tcBorders>
              <w:top w:val="single" w:color="999999" w:sz="0" w:space="0"/>
              <w:left w:val="single" w:color="999999" w:sz="0" w:space="0"/>
              <w:bottom w:val="single" w:color="999999" w:sz="0" w:space="0"/>
              <w:right w:val="single" w:color="999999" w:sz="0" w:space="0"/>
            </w:tcBorders>
            <w:vAlign w:val="center"/>
          </w:tcPr>
          <w:p w14:paraId="25F531EF">
            <w:pPr>
              <w:spacing w:before="40" w:after="40"/>
              <w:ind w:left="80"/>
            </w:pPr>
            <w:r>
              <w:rPr>
                <w:rFonts w:ascii="Arial" w:hAnsi="Arial" w:eastAsia="宋体" w:cs="Arial"/>
                <w:sz w:val="18"/>
                <w:szCs w:val="18"/>
              </w:rPr>
              <w:t>判定矛盾</w:t>
            </w:r>
          </w:p>
        </w:tc>
        <w:tc>
          <w:tcPr>
            <w:tcW w:w="3026" w:type="dxa"/>
            <w:tcBorders>
              <w:top w:val="single" w:color="999999" w:sz="0" w:space="0"/>
              <w:left w:val="single" w:color="999999" w:sz="0" w:space="0"/>
              <w:bottom w:val="single" w:color="999999" w:sz="0" w:space="0"/>
              <w:right w:val="single" w:color="999999" w:sz="0" w:space="0"/>
            </w:tcBorders>
            <w:vAlign w:val="center"/>
          </w:tcPr>
          <w:p w14:paraId="216BF349">
            <w:pPr>
              <w:spacing w:before="40" w:after="40"/>
              <w:ind w:left="80"/>
            </w:pPr>
            <w:r>
              <w:rPr>
                <w:rFonts w:ascii="Arial" w:hAnsi="Arial" w:eastAsia="宋体" w:cs="Arial"/>
                <w:sz w:val="18"/>
                <w:szCs w:val="18"/>
              </w:rPr>
              <w:t>验证标准宽松或预期结果错误</w:t>
            </w:r>
          </w:p>
        </w:tc>
        <w:tc>
          <w:tcPr>
            <w:tcW w:w="3500" w:type="dxa"/>
            <w:tcBorders>
              <w:top w:val="single" w:color="999999" w:sz="0" w:space="0"/>
              <w:left w:val="single" w:color="999999" w:sz="0" w:space="0"/>
              <w:bottom w:val="single" w:color="999999" w:sz="0" w:space="0"/>
              <w:right w:val="single" w:color="999999" w:sz="0" w:space="0"/>
            </w:tcBorders>
            <w:vAlign w:val="center"/>
          </w:tcPr>
          <w:p w14:paraId="14FF3416">
            <w:pPr>
              <w:spacing w:before="40" w:after="40"/>
              <w:ind w:left="80"/>
            </w:pPr>
            <w:r>
              <w:rPr>
                <w:rFonts w:ascii="Arial" w:hAnsi="Arial" w:eastAsia="宋体" w:cs="Arial"/>
                <w:sz w:val="18"/>
                <w:szCs w:val="18"/>
              </w:rPr>
              <w:t>★manualReview：人工审核后调整预期</w:t>
            </w:r>
          </w:p>
        </w:tc>
      </w:tr>
      <w:tr w14:paraId="7670A6CF">
        <w:tc>
          <w:tcPr>
            <w:tcW w:w="2500" w:type="dxa"/>
            <w:tcBorders>
              <w:top w:val="single" w:color="999999" w:sz="0" w:space="0"/>
              <w:left w:val="single" w:color="999999" w:sz="0" w:space="0"/>
              <w:bottom w:val="single" w:color="999999" w:sz="0" w:space="0"/>
              <w:right w:val="single" w:color="999999" w:sz="0" w:space="0"/>
            </w:tcBorders>
            <w:vAlign w:val="center"/>
          </w:tcPr>
          <w:p w14:paraId="1FB95A23">
            <w:pPr>
              <w:spacing w:before="40" w:after="40"/>
              <w:ind w:left="80"/>
            </w:pPr>
            <w:r>
              <w:rPr>
                <w:rFonts w:ascii="Arial" w:hAnsi="Arial" w:eastAsia="宋体" w:cs="Arial"/>
                <w:sz w:val="18"/>
                <w:szCs w:val="18"/>
              </w:rPr>
              <w:t>函数输出不匹配</w:t>
            </w:r>
          </w:p>
        </w:tc>
        <w:tc>
          <w:tcPr>
            <w:tcW w:w="3026" w:type="dxa"/>
            <w:tcBorders>
              <w:top w:val="single" w:color="999999" w:sz="0" w:space="0"/>
              <w:left w:val="single" w:color="999999" w:sz="0" w:space="0"/>
              <w:bottom w:val="single" w:color="999999" w:sz="0" w:space="0"/>
              <w:right w:val="single" w:color="999999" w:sz="0" w:space="0"/>
            </w:tcBorders>
            <w:vAlign w:val="center"/>
          </w:tcPr>
          <w:p w14:paraId="6FCAEF3F">
            <w:pPr>
              <w:spacing w:before="40" w:after="40"/>
              <w:ind w:left="80"/>
            </w:pPr>
            <w:r>
              <w:rPr>
                <w:rFonts w:ascii="Arial" w:hAnsi="Arial" w:eastAsia="宋体" w:cs="Arial"/>
                <w:sz w:val="18"/>
                <w:szCs w:val="18"/>
              </w:rPr>
              <w:t>预期值模板错误</w:t>
            </w:r>
          </w:p>
        </w:tc>
        <w:tc>
          <w:tcPr>
            <w:tcW w:w="3500" w:type="dxa"/>
            <w:tcBorders>
              <w:top w:val="single" w:color="999999" w:sz="0" w:space="0"/>
              <w:left w:val="single" w:color="999999" w:sz="0" w:space="0"/>
              <w:bottom w:val="single" w:color="999999" w:sz="0" w:space="0"/>
              <w:right w:val="single" w:color="999999" w:sz="0" w:space="0"/>
            </w:tcBorders>
            <w:vAlign w:val="center"/>
          </w:tcPr>
          <w:p w14:paraId="415B7140">
            <w:pPr>
              <w:spacing w:before="40" w:after="40"/>
              <w:ind w:left="80"/>
            </w:pPr>
            <w:r>
              <w:rPr>
                <w:rFonts w:ascii="Arial" w:hAnsi="Arial" w:eastAsia="宋体" w:cs="Arial"/>
                <w:sz w:val="18"/>
                <w:szCs w:val="18"/>
              </w:rPr>
              <w:t>★adjustExpected：生成预期变更建议，人工审核后创建新预言版本</w:t>
            </w:r>
          </w:p>
        </w:tc>
      </w:tr>
      <w:tr w14:paraId="232CFCAD">
        <w:tc>
          <w:tcPr>
            <w:tcW w:w="2500" w:type="dxa"/>
            <w:tcBorders>
              <w:top w:val="single" w:color="999999" w:sz="0" w:space="0"/>
              <w:left w:val="single" w:color="999999" w:sz="0" w:space="0"/>
              <w:bottom w:val="single" w:color="999999" w:sz="0" w:space="0"/>
              <w:right w:val="single" w:color="999999" w:sz="0" w:space="0"/>
            </w:tcBorders>
            <w:vAlign w:val="center"/>
          </w:tcPr>
          <w:p w14:paraId="3E123C58">
            <w:pPr>
              <w:spacing w:before="40" w:after="40"/>
              <w:ind w:left="80"/>
            </w:pPr>
            <w:r>
              <w:rPr>
                <w:rFonts w:ascii="Arial" w:hAnsi="Arial" w:eastAsia="宋体" w:cs="Arial"/>
                <w:sz w:val="18"/>
                <w:szCs w:val="18"/>
              </w:rPr>
              <w:t>语义重复（跨子策略）</w:t>
            </w:r>
          </w:p>
        </w:tc>
        <w:tc>
          <w:tcPr>
            <w:tcW w:w="3026" w:type="dxa"/>
            <w:tcBorders>
              <w:top w:val="single" w:color="999999" w:sz="0" w:space="0"/>
              <w:left w:val="single" w:color="999999" w:sz="0" w:space="0"/>
              <w:bottom w:val="single" w:color="999999" w:sz="0" w:space="0"/>
              <w:right w:val="single" w:color="999999" w:sz="0" w:space="0"/>
            </w:tcBorders>
            <w:vAlign w:val="center"/>
          </w:tcPr>
          <w:p w14:paraId="36ACDCF9">
            <w:pPr>
              <w:spacing w:before="40" w:after="40"/>
              <w:ind w:left="80"/>
            </w:pPr>
            <w:r>
              <w:rPr>
                <w:rFonts w:ascii="Arial" w:hAnsi="Arial" w:eastAsia="宋体" w:cs="Arial"/>
                <w:sz w:val="18"/>
                <w:szCs w:val="18"/>
              </w:rPr>
              <w:t>设计意图（正常）</w:t>
            </w:r>
          </w:p>
        </w:tc>
        <w:tc>
          <w:tcPr>
            <w:tcW w:w="3500" w:type="dxa"/>
            <w:tcBorders>
              <w:top w:val="single" w:color="999999" w:sz="0" w:space="0"/>
              <w:left w:val="single" w:color="999999" w:sz="0" w:space="0"/>
              <w:bottom w:val="single" w:color="999999" w:sz="0" w:space="0"/>
              <w:right w:val="single" w:color="999999" w:sz="0" w:space="0"/>
            </w:tcBorders>
            <w:vAlign w:val="center"/>
          </w:tcPr>
          <w:p w14:paraId="4A5D985B">
            <w:pPr>
              <w:spacing w:before="40" w:after="40"/>
              <w:ind w:left="80"/>
            </w:pPr>
            <w:r>
              <w:rPr>
                <w:rFonts w:ascii="Arial" w:hAnsi="Arial" w:eastAsia="宋体" w:cs="Arial"/>
                <w:sz w:val="18"/>
                <w:szCs w:val="18"/>
              </w:rPr>
              <w:t>keepAsPair：保留配对，不消除（自动）</w:t>
            </w:r>
          </w:p>
        </w:tc>
      </w:tr>
      <w:tr w14:paraId="10F8ED6D">
        <w:tc>
          <w:tcPr>
            <w:tcW w:w="2500" w:type="dxa"/>
            <w:tcBorders>
              <w:top w:val="single" w:color="999999" w:sz="0" w:space="0"/>
              <w:left w:val="single" w:color="999999" w:sz="0" w:space="0"/>
              <w:bottom w:val="single" w:color="999999" w:sz="0" w:space="0"/>
              <w:right w:val="single" w:color="999999" w:sz="0" w:space="0"/>
            </w:tcBorders>
            <w:vAlign w:val="center"/>
          </w:tcPr>
          <w:p w14:paraId="780CBD57">
            <w:pPr>
              <w:spacing w:before="40" w:after="40"/>
              <w:ind w:left="80"/>
            </w:pPr>
            <w:r>
              <w:rPr>
                <w:rFonts w:ascii="Arial" w:hAnsi="Arial" w:eastAsia="宋体" w:cs="Arial"/>
                <w:sz w:val="18"/>
                <w:szCs w:val="18"/>
              </w:rPr>
              <w:t>版本号不一致</w:t>
            </w:r>
          </w:p>
        </w:tc>
        <w:tc>
          <w:tcPr>
            <w:tcW w:w="3026" w:type="dxa"/>
            <w:tcBorders>
              <w:top w:val="single" w:color="999999" w:sz="0" w:space="0"/>
              <w:left w:val="single" w:color="999999" w:sz="0" w:space="0"/>
              <w:bottom w:val="single" w:color="999999" w:sz="0" w:space="0"/>
              <w:right w:val="single" w:color="999999" w:sz="0" w:space="0"/>
            </w:tcBorders>
            <w:vAlign w:val="center"/>
          </w:tcPr>
          <w:p w14:paraId="459C4C42">
            <w:pPr>
              <w:spacing w:before="40" w:after="40"/>
              <w:ind w:left="80"/>
            </w:pPr>
            <w:r>
              <w:rPr>
                <w:rFonts w:ascii="Arial" w:hAnsi="Arial" w:eastAsia="宋体" w:cs="Arial"/>
                <w:sz w:val="18"/>
                <w:szCs w:val="18"/>
              </w:rPr>
              <w:t>策略更新后未重新提交</w:t>
            </w:r>
          </w:p>
        </w:tc>
        <w:tc>
          <w:tcPr>
            <w:tcW w:w="3500" w:type="dxa"/>
            <w:tcBorders>
              <w:top w:val="single" w:color="999999" w:sz="0" w:space="0"/>
              <w:left w:val="single" w:color="999999" w:sz="0" w:space="0"/>
              <w:bottom w:val="single" w:color="999999" w:sz="0" w:space="0"/>
              <w:right w:val="single" w:color="999999" w:sz="0" w:space="0"/>
            </w:tcBorders>
            <w:vAlign w:val="center"/>
          </w:tcPr>
          <w:p w14:paraId="1DBF479F">
            <w:pPr>
              <w:spacing w:before="40" w:after="40"/>
              <w:ind w:left="80"/>
            </w:pPr>
            <w:r>
              <w:rPr>
                <w:rFonts w:ascii="Arial" w:hAnsi="Arial" w:eastAsia="宋体" w:cs="Arial"/>
                <w:sz w:val="18"/>
                <w:szCs w:val="18"/>
              </w:rPr>
              <w:t>reSubmit：用最新版本重新提交（自动）</w:t>
            </w:r>
          </w:p>
        </w:tc>
      </w:tr>
      <w:tr w14:paraId="2826F0B6">
        <w:tc>
          <w:tcPr>
            <w:tcW w:w="2500" w:type="dxa"/>
            <w:tcBorders>
              <w:top w:val="single" w:color="999999" w:sz="0" w:space="0"/>
              <w:left w:val="single" w:color="999999" w:sz="0" w:space="0"/>
              <w:bottom w:val="single" w:color="999999" w:sz="0" w:space="0"/>
              <w:right w:val="single" w:color="999999" w:sz="0" w:space="0"/>
            </w:tcBorders>
            <w:vAlign w:val="center"/>
          </w:tcPr>
          <w:p w14:paraId="5E2F125E">
            <w:pPr>
              <w:spacing w:before="40" w:after="40"/>
              <w:ind w:left="80"/>
            </w:pPr>
            <w:r>
              <w:rPr>
                <w:rFonts w:ascii="Arial" w:hAnsi="Arial" w:eastAsia="宋体" w:cs="Arial"/>
                <w:sz w:val="18"/>
                <w:szCs w:val="18"/>
              </w:rPr>
              <w:t>策略报异常</w:t>
            </w:r>
          </w:p>
        </w:tc>
        <w:tc>
          <w:tcPr>
            <w:tcW w:w="3026" w:type="dxa"/>
            <w:tcBorders>
              <w:top w:val="single" w:color="999999" w:sz="0" w:space="0"/>
              <w:left w:val="single" w:color="999999" w:sz="0" w:space="0"/>
              <w:bottom w:val="single" w:color="999999" w:sz="0" w:space="0"/>
              <w:right w:val="single" w:color="999999" w:sz="0" w:space="0"/>
            </w:tcBorders>
            <w:vAlign w:val="center"/>
          </w:tcPr>
          <w:p w14:paraId="3B4E49DE">
            <w:pPr>
              <w:spacing w:before="40" w:after="40"/>
              <w:ind w:left="80"/>
            </w:pPr>
            <w:r>
              <w:rPr>
                <w:rFonts w:ascii="Arial" w:hAnsi="Arial" w:eastAsia="宋体" w:cs="Arial"/>
                <w:sz w:val="18"/>
                <w:szCs w:val="18"/>
              </w:rPr>
              <w:t>入参格式错误</w:t>
            </w:r>
          </w:p>
        </w:tc>
        <w:tc>
          <w:tcPr>
            <w:tcW w:w="3500" w:type="dxa"/>
            <w:tcBorders>
              <w:top w:val="single" w:color="999999" w:sz="0" w:space="0"/>
              <w:left w:val="single" w:color="999999" w:sz="0" w:space="0"/>
              <w:bottom w:val="single" w:color="999999" w:sz="0" w:space="0"/>
              <w:right w:val="single" w:color="999999" w:sz="0" w:space="0"/>
            </w:tcBorders>
            <w:vAlign w:val="center"/>
          </w:tcPr>
          <w:p w14:paraId="27C53573">
            <w:pPr>
              <w:spacing w:before="40" w:after="40"/>
              <w:ind w:left="80"/>
            </w:pPr>
            <w:r>
              <w:rPr>
                <w:rFonts w:ascii="Arial" w:hAnsi="Arial" w:eastAsia="宋体" w:cs="Arial"/>
                <w:sz w:val="18"/>
                <w:szCs w:val="18"/>
              </w:rPr>
              <w:t>fixParams：修正JSON格式（自动）</w:t>
            </w:r>
          </w:p>
        </w:tc>
      </w:tr>
      <w:tr w14:paraId="18537B95">
        <w:tc>
          <w:tcPr>
            <w:tcW w:w="2500" w:type="dxa"/>
            <w:tcBorders>
              <w:top w:val="single" w:color="999999" w:sz="0" w:space="0"/>
              <w:left w:val="single" w:color="999999" w:sz="0" w:space="0"/>
              <w:bottom w:val="single" w:color="999999" w:sz="0" w:space="0"/>
              <w:right w:val="single" w:color="999999" w:sz="0" w:space="0"/>
            </w:tcBorders>
            <w:vAlign w:val="center"/>
          </w:tcPr>
          <w:p w14:paraId="0CFD1D2D">
            <w:pPr>
              <w:spacing w:before="40" w:after="40"/>
              <w:ind w:left="80"/>
            </w:pPr>
            <w:r>
              <w:rPr>
                <w:rFonts w:ascii="Arial" w:hAnsi="Arial" w:eastAsia="宋体" w:cs="Arial"/>
                <w:sz w:val="18"/>
                <w:szCs w:val="18"/>
              </w:rPr>
              <w:t>数据完整性缺失</w:t>
            </w:r>
          </w:p>
        </w:tc>
        <w:tc>
          <w:tcPr>
            <w:tcW w:w="3026" w:type="dxa"/>
            <w:tcBorders>
              <w:top w:val="single" w:color="999999" w:sz="0" w:space="0"/>
              <w:left w:val="single" w:color="999999" w:sz="0" w:space="0"/>
              <w:bottom w:val="single" w:color="999999" w:sz="0" w:space="0"/>
              <w:right w:val="single" w:color="999999" w:sz="0" w:space="0"/>
            </w:tcBorders>
            <w:vAlign w:val="center"/>
          </w:tcPr>
          <w:p w14:paraId="545A8057">
            <w:pPr>
              <w:spacing w:before="40" w:after="40"/>
              <w:ind w:left="80"/>
            </w:pPr>
            <w:r>
              <w:rPr>
                <w:rFonts w:ascii="Arial" w:hAnsi="Arial" w:eastAsia="宋体" w:cs="Arial"/>
                <w:sz w:val="18"/>
                <w:szCs w:val="18"/>
              </w:rPr>
              <w:t>列值为空</w:t>
            </w:r>
          </w:p>
        </w:tc>
        <w:tc>
          <w:tcPr>
            <w:tcW w:w="3500" w:type="dxa"/>
            <w:tcBorders>
              <w:top w:val="single" w:color="999999" w:sz="0" w:space="0"/>
              <w:left w:val="single" w:color="999999" w:sz="0" w:space="0"/>
              <w:bottom w:val="single" w:color="999999" w:sz="0" w:space="0"/>
              <w:right w:val="single" w:color="999999" w:sz="0" w:space="0"/>
            </w:tcBorders>
            <w:vAlign w:val="center"/>
          </w:tcPr>
          <w:p w14:paraId="555AA9FA">
            <w:pPr>
              <w:spacing w:before="40" w:after="40"/>
              <w:ind w:left="80"/>
            </w:pPr>
            <w:r>
              <w:rPr>
                <w:rFonts w:ascii="Arial" w:hAnsi="Arial" w:eastAsia="宋体" w:cs="Arial"/>
                <w:sz w:val="18"/>
                <w:szCs w:val="18"/>
              </w:rPr>
              <w:t>investigate：标记待人工调查</w:t>
            </w:r>
          </w:p>
        </w:tc>
      </w:tr>
    </w:tbl>
    <w:p w14:paraId="1FA852A8">
      <w:pPr>
        <w:spacing w:after="60"/>
      </w:pPr>
    </w:p>
    <w:p w14:paraId="6B01406E">
      <w:pPr>
        <w:spacing w:after="100" w:line="360" w:lineRule="auto"/>
        <w:ind w:firstLine="480"/>
      </w:pPr>
      <w:r>
        <w:rPr>
          <w:rFonts w:ascii="Arial" w:hAnsi="Arial" w:eastAsia="宋体" w:cs="Arial"/>
          <w:sz w:val="21"/>
          <w:szCs w:val="21"/>
        </w:rPr>
        <w:t>反馈文件（feedback.json）包含以下结构化信息：当前迭代轮次、上一轮的问题总数、已验证通过的修复补丁列表（每个补丁包含根因分析结论、修复类型、目标用例编号、修改字段、旧值、新值和验证结果）、残余问题的修复动作列表（每个动作指定类型、目标用例编号、修改字段和原因说明）、以及汇总统计（可自动修复数量、需人工审查数量、保留配对数量、预估下一轮残余问题数）。</w:t>
      </w:r>
    </w:p>
    <w:p w14:paraId="2EE132B8">
      <w:pPr>
        <w:spacing w:after="100" w:line="360" w:lineRule="auto"/>
        <w:ind w:firstLine="480"/>
      </w:pPr>
      <w:r>
        <w:rPr>
          <w:rFonts w:ascii="Arial" w:hAnsi="Arial" w:eastAsia="微软雅黑" w:cs="Arial"/>
          <w:b/>
          <w:bCs/>
          <w:sz w:val="21"/>
          <w:szCs w:val="21"/>
        </w:rPr>
        <w:t>人工介入递减模型</w:t>
      </w:r>
    </w:p>
    <w:p w14:paraId="3E1E1EDB">
      <w:pPr>
        <w:spacing w:after="100" w:line="360" w:lineRule="auto"/>
        <w:ind w:firstLine="480"/>
      </w:pPr>
      <w:r>
        <w:rPr>
          <w:rFonts w:ascii="Arial" w:hAnsi="Arial" w:eastAsia="宋体" w:cs="Arial"/>
          <w:sz w:val="21"/>
          <w:szCs w:val="21"/>
        </w:rPr>
        <w:t>随着迭代轮次的推进，人工介入量呈递减趋势：</w:t>
      </w:r>
    </w:p>
    <w:p w14:paraId="1EADC70F">
      <w:pPr>
        <w:spacing w:after="100" w:line="360" w:lineRule="auto"/>
        <w:ind w:firstLine="480"/>
      </w:pPr>
      <w:r>
        <w:rPr>
          <w:rFonts w:ascii="Arial" w:hAnsi="Arial" w:eastAsia="宋体" w:cs="Arial"/>
          <w:sz w:val="21"/>
          <w:szCs w:val="21"/>
        </w:rPr>
        <w:t>第1轮（高介入）：需要人工确认执行证据的完整性、处理受控修复验证中标记为人工审核的修复请求、处理异常情况。</w:t>
      </w:r>
    </w:p>
    <w:p w14:paraId="4523FD46">
      <w:pPr>
        <w:spacing w:after="100" w:line="360" w:lineRule="auto"/>
        <w:ind w:firstLine="480"/>
      </w:pPr>
      <w:r>
        <w:rPr>
          <w:rFonts w:ascii="Arial" w:hAnsi="Arial" w:eastAsia="宋体" w:cs="Arial"/>
          <w:sz w:val="21"/>
          <w:szCs w:val="21"/>
        </w:rPr>
        <w:t>第2轮（中介入）：仅需处理反馈文件中标记为manualReview的残余问题，确认人工审查建议。</w:t>
      </w:r>
    </w:p>
    <w:p w14:paraId="57F4C0F7">
      <w:pPr>
        <w:spacing w:after="100" w:line="360" w:lineRule="auto"/>
        <w:ind w:firstLine="480"/>
      </w:pPr>
      <w:r>
        <w:rPr>
          <w:rFonts w:ascii="Arial" w:hAnsi="Arial" w:eastAsia="宋体" w:cs="Arial"/>
          <w:sz w:val="21"/>
          <w:szCs w:val="21"/>
        </w:rPr>
        <w:t>第3轮（低介入）：仅剩少量边界场景的确认工作。</w:t>
      </w:r>
    </w:p>
    <w:p w14:paraId="10F4119C">
      <w:pPr>
        <w:spacing w:after="100" w:line="360" w:lineRule="auto"/>
        <w:ind w:firstLine="480"/>
      </w:pPr>
      <w:r>
        <w:rPr>
          <w:rFonts w:ascii="Arial" w:hAnsi="Arial" w:eastAsia="宋体" w:cs="Arial"/>
          <w:sz w:val="21"/>
          <w:szCs w:val="21"/>
        </w:rPr>
        <w:t>第4轮及以后（低介入）：常规可自动处置问题继续自动运行；预期变更、用例删除、检测策略变更及待调查问题仍保留人工门禁。</w:t>
      </w:r>
    </w:p>
    <w:p w14:paraId="4FE85660">
      <w:pPr>
        <w:spacing w:after="100" w:line="360" w:lineRule="auto"/>
        <w:ind w:firstLine="480"/>
      </w:pPr>
      <w:r>
        <w:rPr>
          <w:rFonts w:ascii="Arial" w:hAnsi="Arial" w:eastAsia="宋体" w:cs="Arial"/>
          <w:sz w:val="21"/>
          <w:szCs w:val="21"/>
        </w:rPr>
        <w:t>该递减模型的关键在于：第1轮发现的大部分问题（如语义重复、版本号不一致等）可以通过keepAsPair和reSubmit等动作自动处理，受控修复验证通过参数修正和Mock调整即可覆盖大部分根因类型；第2轮涉及预期修改的问题（判定矛盾、函数预期模板）经人工审核门禁确认后修正，后续轮次不再产生同类问题。因此问题数量呈现快速下降并趋于收敛的特征。</w:t>
      </w:r>
    </w:p>
    <w:p w14:paraId="1DECEF1E">
      <w:pPr>
        <w:spacing w:after="60"/>
      </w:pPr>
    </w:p>
    <w:p w14:paraId="017E90B1">
      <w:pPr>
        <w:spacing w:after="100" w:line="360" w:lineRule="auto"/>
        <w:ind w:firstLine="480"/>
      </w:pPr>
      <w:r>
        <w:rPr>
          <w:rFonts w:ascii="Arial" w:hAnsi="Arial" w:eastAsia="微软雅黑" w:cs="Arial"/>
          <w:b/>
          <w:bCs/>
          <w:sz w:val="21"/>
          <w:szCs w:val="21"/>
        </w:rPr>
        <w:t>终止条件</w:t>
      </w:r>
    </w:p>
    <w:p w14:paraId="19EA25AC">
      <w:pPr>
        <w:spacing w:after="100" w:line="360" w:lineRule="auto"/>
        <w:ind w:firstLine="480"/>
      </w:pPr>
      <w:r>
        <w:rPr>
          <w:rFonts w:ascii="Arial" w:hAnsi="Arial" w:eastAsia="宋体" w:cs="Arial"/>
          <w:sz w:val="21"/>
          <w:szCs w:val="21"/>
        </w:rPr>
        <w:t>迭代循环在以下三种条件之一满足时终止：</w:t>
      </w:r>
    </w:p>
    <w:p w14:paraId="48B7D455">
      <w:pPr>
        <w:spacing w:after="100" w:line="360" w:lineRule="auto"/>
        <w:ind w:firstLine="480"/>
      </w:pPr>
      <w:r>
        <w:rPr>
          <w:rFonts w:ascii="Arial" w:hAnsi="Arial" w:eastAsia="宋体" w:cs="Arial"/>
          <w:sz w:val="21"/>
          <w:szCs w:val="21"/>
        </w:rPr>
        <w:t>（a）收敛退出：同时满足严重问题清零、目标规则通过率≥99%、覆盖度不低于首轮基线、且连续两轮问题总数变化幅度低于5%，判定为收敛，输出修复结果及经过验证的修复补丁。</w:t>
      </w:r>
    </w:p>
    <w:p w14:paraId="103DFA19">
      <w:pPr>
        <w:spacing w:after="100" w:line="360" w:lineRule="auto"/>
        <w:ind w:firstLine="480"/>
      </w:pPr>
      <w:r>
        <w:rPr>
          <w:rFonts w:ascii="Arial" w:hAnsi="Arial" w:eastAsia="宋体" w:cs="Arial"/>
          <w:sz w:val="21"/>
          <w:szCs w:val="21"/>
        </w:rPr>
        <w:t>（b）达到上限：达到预设的最大迭代轮次（默认5轮），停止迭代并输出当前已验证的修复补丁及未解决问题清单。</w:t>
      </w:r>
    </w:p>
    <w:p w14:paraId="6F82CCAC">
      <w:pPr>
        <w:spacing w:after="100" w:line="360" w:lineRule="auto"/>
        <w:ind w:firstLine="480"/>
      </w:pPr>
      <w:r>
        <w:rPr>
          <w:rFonts w:ascii="Arial" w:hAnsi="Arial" w:eastAsia="宋体" w:cs="Arial"/>
          <w:sz w:val="21"/>
          <w:szCs w:val="21"/>
        </w:rPr>
        <w:t>（c）暂停等待：严重问题无法自动修复，暂停循环等待人工介入修复后手动恢复。</w:t>
      </w:r>
    </w:p>
    <w:p w14:paraId="418F307F">
      <w:pPr>
        <w:spacing w:after="60"/>
      </w:pPr>
    </w:p>
    <w:p w14:paraId="7C6C13AB">
      <w:pPr>
        <w:spacing w:before="420" w:after="180"/>
      </w:pPr>
      <w:r>
        <w:rPr>
          <w:rFonts w:ascii="Arial" w:hAnsi="Arial" w:eastAsia="微软雅黑" w:cs="Arial"/>
          <w:b/>
          <w:bCs/>
          <w:sz w:val="21"/>
          <w:szCs w:val="21"/>
        </w:rPr>
        <w:t>4、本发明的关键点和欲保护点是什么？</w:t>
      </w:r>
    </w:p>
    <w:p w14:paraId="70B66F6A">
      <w:pPr>
        <w:spacing w:after="100" w:line="360" w:lineRule="auto"/>
        <w:ind w:firstLine="480"/>
      </w:pPr>
      <w:r>
        <w:rPr>
          <w:rFonts w:ascii="Arial" w:hAnsi="Arial" w:eastAsia="宋体" w:cs="Arial"/>
          <w:sz w:val="21"/>
          <w:szCs w:val="21"/>
        </w:rPr>
        <w:t>本发明的关键创新点和欲保护点如下：</w:t>
      </w:r>
    </w:p>
    <w:p w14:paraId="30F3057A">
      <w:pPr>
        <w:spacing w:after="100" w:line="360" w:lineRule="auto"/>
        <w:ind w:firstLine="480"/>
      </w:pPr>
      <w:r>
        <w:rPr>
          <w:rFonts w:ascii="Arial" w:hAnsi="Arial" w:eastAsia="宋体" w:cs="Arial"/>
          <w:sz w:val="21"/>
          <w:szCs w:val="21"/>
        </w:rPr>
        <w:t>（1）证据到补丁的受控修复机制：仅接收上游系统输出的分层执行证据和覆盖报告，通过证据质量校验、根因定位、候选补丁生成和外部隔离重执行验证，输出经过验证的修复补丁，形成"证据接收—分析修复—验证输出"闭环。</w:t>
      </w:r>
    </w:p>
    <w:p w14:paraId="63628D9F">
      <w:pPr>
        <w:spacing w:after="100" w:line="360" w:lineRule="auto"/>
        <w:ind w:firstLine="480"/>
      </w:pPr>
      <w:r>
        <w:rPr>
          <w:rFonts w:ascii="Arial" w:hAnsi="Arial" w:eastAsia="宋体" w:cs="Arial"/>
          <w:sz w:val="21"/>
          <w:szCs w:val="21"/>
        </w:rPr>
        <w:t>（2）基于分层执行证据的根因定位：利用五层执行证据（策略层→子策略层→规则集层→函数层→全组件日志）对测试失败用例进行逐层回溯，精确定位到具体失败层级和修复靶点。</w:t>
      </w:r>
    </w:p>
    <w:p w14:paraId="1E92B979">
      <w:pPr>
        <w:spacing w:after="100" w:line="360" w:lineRule="auto"/>
        <w:ind w:firstLine="480"/>
      </w:pPr>
      <w:r>
        <w:rPr>
          <w:rFonts w:ascii="Arial" w:hAnsi="Arial" w:eastAsia="宋体" w:cs="Arial"/>
          <w:sz w:val="21"/>
          <w:szCs w:val="21"/>
        </w:rPr>
        <w:t>（3）受控修复约束规则：当前测试预言版本在本轮修复中不得原位修改；自动修复范围严格限定为修改测试参数、调整第三方数据模拟配置或调用参数；每个候选补丁须通过外部隔离重执行接口完成目标通过、历史回归不退化和覆盖不下降三重验证。</w:t>
      </w:r>
    </w:p>
    <w:p w14:paraId="4A2FA2A0">
      <w:pPr>
        <w:spacing w:after="100" w:line="360" w:lineRule="auto"/>
        <w:ind w:firstLine="480"/>
      </w:pPr>
      <w:r>
        <w:rPr>
          <w:rFonts w:ascii="Arial" w:hAnsi="Arial" w:eastAsia="宋体" w:cs="Arial"/>
          <w:sz w:val="21"/>
          <w:szCs w:val="21"/>
        </w:rPr>
        <w:t>（4）人工审核门禁机制：对涉及预期结果修改、用例删除或检测策略变更的操作强制人工确认，确保自动化修复不会掩盖真实的系统缺陷。</w:t>
      </w:r>
    </w:p>
    <w:p w14:paraId="6764D53B">
      <w:pPr>
        <w:spacing w:after="100" w:line="360" w:lineRule="auto"/>
        <w:ind w:firstLine="480"/>
      </w:pPr>
      <w:r>
        <w:rPr>
          <w:rFonts w:ascii="Arial" w:hAnsi="Arial" w:eastAsia="宋体" w:cs="Arial"/>
          <w:sz w:val="21"/>
          <w:szCs w:val="21"/>
        </w:rPr>
        <w:t>（5）7模式-6处置的分类修复映射：将残余质量问题系统化为7种问题模式并映射为6类处置动作，其中fixParams、keepAsPair和reSubmit三类可自动执行，adjustExpected、manualReview和investigate三类必须进入人工审核或调查流程；adjustExpected仅生成预期变更建议，不在当前轮次原位修改测试预言。</w:t>
      </w:r>
    </w:p>
    <w:p w14:paraId="6A7D79CD">
      <w:pPr>
        <w:spacing w:after="100" w:line="360" w:lineRule="auto"/>
        <w:ind w:firstLine="480"/>
      </w:pPr>
      <w:r>
        <w:rPr>
          <w:rFonts w:ascii="Arial" w:hAnsi="Arial" w:eastAsia="宋体" w:cs="Arial"/>
          <w:sz w:val="21"/>
          <w:szCs w:val="21"/>
        </w:rPr>
        <w:t>（6）多维度收敛判定：收敛终止需同时满足严重问题清零、目标规则通过率≥99%、覆盖度不低于首轮基线、连续两轮问题数变化&lt;5%四个条件，避免仅看问题数量而忽略质量维度的退化。</w:t>
      </w:r>
    </w:p>
    <w:p w14:paraId="1077DA89">
      <w:pPr>
        <w:spacing w:after="100" w:line="360" w:lineRule="auto"/>
        <w:ind w:firstLine="480"/>
      </w:pPr>
      <w:r>
        <w:rPr>
          <w:rFonts w:ascii="Arial" w:hAnsi="Arial" w:eastAsia="宋体" w:cs="Arial"/>
          <w:sz w:val="21"/>
          <w:szCs w:val="21"/>
        </w:rPr>
        <w:t>（7）人工介入递减模型：通过受控修复验证消除大部分可自动处理的问题，使人工介入量从高（第1轮）到低（第3轮）到极低（第4轮+），实现修复过程的逐步自动化。</w:t>
      </w:r>
    </w:p>
    <w:p w14:paraId="2CA403A7">
      <w:pPr>
        <w:spacing w:after="60"/>
      </w:pPr>
    </w:p>
    <w:p w14:paraId="73F7C5C6">
      <w:pPr>
        <w:spacing w:before="420" w:after="180"/>
      </w:pPr>
      <w:r>
        <w:rPr>
          <w:rFonts w:ascii="Arial" w:hAnsi="Arial" w:eastAsia="微软雅黑" w:cs="Arial"/>
          <w:b/>
          <w:bCs/>
          <w:sz w:val="21"/>
          <w:szCs w:val="21"/>
        </w:rPr>
        <w:t>5、其他有助于专利代理人理解本技术的资料</w:t>
      </w:r>
    </w:p>
    <w:p w14:paraId="5C970E84">
      <w:pPr>
        <w:spacing w:before="300" w:after="140" w:line="360" w:lineRule="auto"/>
      </w:pPr>
      <w:r>
        <w:rPr>
          <w:rFonts w:ascii="Arial" w:hAnsi="Arial" w:eastAsia="微软雅黑" w:cs="Arial"/>
          <w:b/>
          <w:bCs/>
          <w:sz w:val="21"/>
          <w:szCs w:val="21"/>
        </w:rPr>
        <w:t>附：权利要求书草稿（供代理人参考）</w:t>
      </w:r>
    </w:p>
    <w:p w14:paraId="6142734C">
      <w:pPr>
        <w:spacing w:after="100" w:line="360" w:lineRule="auto"/>
        <w:ind w:firstLine="480"/>
      </w:pPr>
      <w:r>
        <w:rPr>
          <w:rFonts w:ascii="Arial" w:hAnsi="Arial" w:eastAsia="微软雅黑" w:cs="Arial"/>
          <w:b/>
          <w:bCs/>
          <w:sz w:val="21"/>
          <w:szCs w:val="21"/>
        </w:rPr>
        <w:t>权利要求1（独立——方法）：</w:t>
      </w:r>
    </w:p>
    <w:p w14:paraId="7ABEB1AE">
      <w:pPr>
        <w:spacing w:after="100" w:line="360" w:lineRule="auto"/>
        <w:ind w:firstLine="480"/>
      </w:pPr>
      <w:r>
        <w:rPr>
          <w:rFonts w:ascii="Arial" w:hAnsi="Arial" w:eastAsia="宋体" w:cs="Arial"/>
          <w:sz w:val="21"/>
          <w:szCs w:val="21"/>
        </w:rPr>
        <w:t>一种基于版本锁定测试预言和分层执行证据的风控测试用例受控修复方法，其特征在于，以由上游策略自动化测试系统输出的分层执行证据和覆盖报告为输入，包括以下步骤：R1、输入检测步骤，检测是否存在新的分层执行证据和覆盖报告；R2、证据关联步骤，校验测试预言版本、策略版本、构建产物标识、用例编号和执行记录标识并建立关联映射；R3、质量校验与根因定位步骤，对失败用例对应的分层执行证据逐层回溯，确定允许修改的测试数据、第三方数据模拟配置或调用参数；R4、候选补丁生成步骤，在当前测试预言版本不得原位修改的约束下生成候选修复补丁；R5、隔离验证步骤，通过上游测试系统提供的外部隔离重执行接口验证候选补丁，在目标用例通过、历史回归不退化且覆盖不下降时，将候选修复补丁标记为验证通过；R6、补丁输出步骤，输出经过验证的修复补丁及其根因、修改字段、旧值、新值、验证结果和处置状态；其中，本方法不包括策略配置文档解析、初始测试用例生成、初始批量执行和分层执行证据采集步骤。</w:t>
      </w:r>
    </w:p>
    <w:p w14:paraId="49C33ABE">
      <w:pPr>
        <w:spacing w:after="100" w:line="360" w:lineRule="auto"/>
        <w:ind w:firstLine="480"/>
      </w:pPr>
      <w:r>
        <w:rPr>
          <w:rFonts w:ascii="Arial" w:hAnsi="Arial" w:eastAsia="微软雅黑" w:cs="Arial"/>
          <w:b/>
          <w:bCs/>
          <w:sz w:val="21"/>
          <w:szCs w:val="21"/>
        </w:rPr>
        <w:t>权利要求2（从属——分层证据根因分析）：</w:t>
      </w:r>
    </w:p>
    <w:p w14:paraId="0B16A665">
      <w:pPr>
        <w:spacing w:after="100" w:line="360" w:lineRule="auto"/>
        <w:ind w:firstLine="480"/>
      </w:pPr>
      <w:r>
        <w:rPr>
          <w:rFonts w:ascii="Arial" w:hAnsi="Arial" w:eastAsia="宋体" w:cs="Arial"/>
          <w:sz w:val="21"/>
          <w:szCs w:val="21"/>
        </w:rPr>
        <w:t>根据权利要求1所述的方法，其特征在于，步骤R3中的根因定位利用五层执行证据逐层回溯：策略层决策结果、子策略层路由信息、规则集层命中详情、函数层输出值与评分、全组件执行日志，将根因精确到具体失败层级以确定修复靶点。</w:t>
      </w:r>
    </w:p>
    <w:p w14:paraId="0196CF7A">
      <w:pPr>
        <w:spacing w:after="100" w:line="360" w:lineRule="auto"/>
        <w:ind w:firstLine="480"/>
      </w:pPr>
      <w:r>
        <w:rPr>
          <w:rFonts w:ascii="Arial" w:hAnsi="Arial" w:eastAsia="微软雅黑" w:cs="Arial"/>
          <w:b/>
          <w:bCs/>
          <w:sz w:val="21"/>
          <w:szCs w:val="21"/>
        </w:rPr>
        <w:t>权利要求3（从属——修复约束规则）：</w:t>
      </w:r>
    </w:p>
    <w:p w14:paraId="67E8815F">
      <w:pPr>
        <w:spacing w:after="100" w:line="360" w:lineRule="auto"/>
        <w:ind w:firstLine="480"/>
      </w:pPr>
      <w:r>
        <w:rPr>
          <w:rFonts w:ascii="Arial" w:hAnsi="Arial" w:eastAsia="宋体" w:cs="Arial"/>
          <w:sz w:val="21"/>
          <w:szCs w:val="21"/>
        </w:rPr>
        <w:t>根据权利要求1所述的方法，其特征在于，步骤R4中所述修复约束规则限定修复范围为修改测试输入参数值、调整第三方数据模拟配置和补充边界测试值三类操作，禁止直接修改测试预期结果、删除测试用例或修改检测策略。</w:t>
      </w:r>
    </w:p>
    <w:p w14:paraId="00E78AF5">
      <w:pPr>
        <w:spacing w:after="100" w:line="360" w:lineRule="auto"/>
        <w:ind w:firstLine="480"/>
      </w:pPr>
      <w:r>
        <w:rPr>
          <w:rFonts w:ascii="Arial" w:hAnsi="Arial" w:eastAsia="微软雅黑" w:cs="Arial"/>
          <w:b/>
          <w:bCs/>
          <w:sz w:val="21"/>
          <w:szCs w:val="21"/>
        </w:rPr>
        <w:t>权利要求4（从属——隔离验证三重条件）：</w:t>
      </w:r>
    </w:p>
    <w:p w14:paraId="33164192">
      <w:pPr>
        <w:spacing w:after="100" w:line="360" w:lineRule="auto"/>
        <w:ind w:firstLine="480"/>
      </w:pPr>
      <w:r>
        <w:rPr>
          <w:rFonts w:ascii="Arial" w:hAnsi="Arial" w:eastAsia="宋体" w:cs="Arial"/>
          <w:sz w:val="21"/>
          <w:szCs w:val="21"/>
        </w:rPr>
        <w:t>根据权利要求1所述的方法，其特征在于，步骤R5通过上游策略自动化测试系统提供的外部隔离重执行接口执行验证，并需同时满足三个条件：目标失败用例通过验证、历史已通过用例无退化、规则覆盖度、函数分支覆盖度和决策流分支覆盖度均不低于补丁应用前的基线。</w:t>
      </w:r>
    </w:p>
    <w:p w14:paraId="6656579A">
      <w:pPr>
        <w:spacing w:after="100" w:line="360" w:lineRule="auto"/>
        <w:ind w:firstLine="480"/>
      </w:pPr>
      <w:r>
        <w:rPr>
          <w:rFonts w:ascii="Arial" w:hAnsi="Arial" w:eastAsia="微软雅黑" w:cs="Arial"/>
          <w:b/>
          <w:bCs/>
          <w:sz w:val="21"/>
          <w:szCs w:val="21"/>
        </w:rPr>
        <w:t>权利要求5（从属——人工审核门禁）：</w:t>
      </w:r>
    </w:p>
    <w:p w14:paraId="3A06772F">
      <w:pPr>
        <w:spacing w:after="100" w:line="360" w:lineRule="auto"/>
        <w:ind w:firstLine="480"/>
      </w:pPr>
      <w:r>
        <w:rPr>
          <w:rFonts w:ascii="Arial" w:hAnsi="Arial" w:eastAsia="宋体" w:cs="Arial"/>
          <w:sz w:val="21"/>
          <w:szCs w:val="21"/>
        </w:rPr>
        <w:t>根据权利要求3所述的方法，其特征在于，对于确需变更测试预期、删除用例或修改检测策略的操作，生成包含修改原因、影响范围和变更内容的审核请求；涉及测试预期变更的，人工审核通过后创建新的测试预言版本并重新锁定，当前修复轮次不得原位修改测试预言。</w:t>
      </w:r>
    </w:p>
    <w:p w14:paraId="554664BF">
      <w:pPr>
        <w:spacing w:after="100" w:line="360" w:lineRule="auto"/>
        <w:ind w:firstLine="480"/>
      </w:pPr>
      <w:r>
        <w:rPr>
          <w:rFonts w:ascii="Arial" w:hAnsi="Arial" w:eastAsia="微软雅黑" w:cs="Arial"/>
          <w:b/>
          <w:bCs/>
          <w:sz w:val="21"/>
          <w:szCs w:val="21"/>
        </w:rPr>
        <w:t>权利要求6（从属——问题分类映射）：</w:t>
      </w:r>
    </w:p>
    <w:p w14:paraId="30D3D738">
      <w:pPr>
        <w:spacing w:after="100" w:line="360" w:lineRule="auto"/>
        <w:ind w:firstLine="480"/>
      </w:pPr>
      <w:r>
        <w:rPr>
          <w:rFonts w:ascii="Arial" w:hAnsi="Arial" w:eastAsia="宋体" w:cs="Arial"/>
          <w:sz w:val="21"/>
          <w:szCs w:val="21"/>
        </w:rPr>
        <w:t>根据权利要求1所述的方法，其特征在于，问题模式包括目标规则未命中、判定矛盾、函数输出不匹配、语义重复、版本号不一致、策略报异常和数据完整性缺失；对应的六类处置动作包括修正入参值、生成预期变更建议、标记人工审查、保留配对设计、用最新版本重新提交和标记待调查，其中修正入参值、保留配对设计和重新提交可自动执行，生成预期变更建议、标记人工审查和标记待调查必须进入人工审核或调查流程。</w:t>
      </w:r>
    </w:p>
    <w:p w14:paraId="54417E5A">
      <w:pPr>
        <w:spacing w:after="100" w:line="360" w:lineRule="auto"/>
        <w:ind w:firstLine="480"/>
      </w:pPr>
      <w:r>
        <w:rPr>
          <w:rFonts w:ascii="Arial" w:hAnsi="Arial" w:eastAsia="微软雅黑" w:cs="Arial"/>
          <w:b/>
          <w:bCs/>
          <w:sz w:val="21"/>
          <w:szCs w:val="21"/>
        </w:rPr>
        <w:t>权利要求7（从属——三级收敛）：</w:t>
      </w:r>
    </w:p>
    <w:p w14:paraId="663F5831">
      <w:pPr>
        <w:spacing w:after="100" w:line="360" w:lineRule="auto"/>
        <w:ind w:firstLine="480"/>
      </w:pPr>
      <w:r>
        <w:rPr>
          <w:rFonts w:ascii="Arial" w:hAnsi="Arial" w:eastAsia="宋体" w:cs="Arial"/>
          <w:sz w:val="21"/>
          <w:szCs w:val="21"/>
        </w:rPr>
        <w:t>根据权利要求1所述的方法，其特征在于，步骤R3中的收敛条件为多维度综合判定：收敛终止需同时满足严重问题数为零、目标规则通过率不低于预设阈值、规则覆盖度和决策流分支覆盖度不低于首轮基线、且连续两轮问题总数变化幅度低于预设百分比；严重问题数大于零时暂停等待人工介入。</w:t>
      </w:r>
    </w:p>
    <w:p w14:paraId="3CAB3419">
      <w:pPr>
        <w:spacing w:after="100" w:line="360" w:lineRule="auto"/>
        <w:ind w:firstLine="480"/>
      </w:pPr>
      <w:r>
        <w:rPr>
          <w:rFonts w:ascii="Arial" w:hAnsi="Arial" w:eastAsia="微软雅黑" w:cs="Arial"/>
          <w:b/>
          <w:bCs/>
          <w:sz w:val="21"/>
          <w:szCs w:val="21"/>
        </w:rPr>
        <w:t>权利要求8（从属——证据结构化）：</w:t>
      </w:r>
    </w:p>
    <w:p w14:paraId="614710D6">
      <w:pPr>
        <w:spacing w:after="100" w:line="360" w:lineRule="auto"/>
        <w:ind w:firstLine="480"/>
      </w:pPr>
      <w:r>
        <w:rPr>
          <w:rFonts w:ascii="Arial" w:hAnsi="Arial" w:eastAsia="宋体" w:cs="Arial"/>
          <w:sz w:val="21"/>
          <w:szCs w:val="21"/>
        </w:rPr>
        <w:t>根据权利要求1所述的方法，其特征在于，步骤R2中的证据关联包括统一字段命名规范，校验分层执行证据和覆盖报告的数据完整性，通过测试预言版本、策略版本、构建产物标识、用例编号和执行记录标识建立关联映射；若非首轮迭代，同时加载上一轮反馈文件并将修复记录与本轮证据关联。</w:t>
      </w:r>
    </w:p>
    <w:p w14:paraId="20FEA839">
      <w:pPr>
        <w:spacing w:after="100" w:line="360" w:lineRule="auto"/>
        <w:ind w:firstLine="480"/>
      </w:pPr>
      <w:r>
        <w:rPr>
          <w:rFonts w:ascii="Arial" w:hAnsi="Arial" w:eastAsia="微软雅黑" w:cs="Arial"/>
          <w:b/>
          <w:bCs/>
          <w:sz w:val="21"/>
          <w:szCs w:val="21"/>
        </w:rPr>
        <w:t>权利要求9（从属——人工递减）：</w:t>
      </w:r>
    </w:p>
    <w:p w14:paraId="5AF451ED">
      <w:pPr>
        <w:spacing w:after="100" w:line="360" w:lineRule="auto"/>
        <w:ind w:firstLine="480"/>
      </w:pPr>
      <w:r>
        <w:rPr>
          <w:rFonts w:ascii="Arial" w:hAnsi="Arial" w:eastAsia="宋体" w:cs="Arial"/>
          <w:sz w:val="21"/>
          <w:szCs w:val="21"/>
        </w:rPr>
        <w:t>根据权利要求1所述的方法，其特征在于，系统根据问题模式和处置状态对人工任务进行分级排队：首轮校验证据完整性并处理审核门禁，后续轮次仅对生成预期变更建议、标记人工审查或标记待调查的残余问题生成待办；未触发门禁的修正入参值、保留配对设计和重新提交动作自动执行。</w:t>
      </w:r>
    </w:p>
    <w:p w14:paraId="38430E64">
      <w:pPr>
        <w:spacing w:after="100" w:line="360" w:lineRule="auto"/>
        <w:ind w:firstLine="480"/>
      </w:pPr>
      <w:r>
        <w:rPr>
          <w:rFonts w:ascii="Arial" w:hAnsi="Arial" w:eastAsia="微软雅黑" w:cs="Arial"/>
          <w:b/>
          <w:bCs/>
          <w:sz w:val="21"/>
          <w:szCs w:val="21"/>
        </w:rPr>
        <w:t>权利要求10（独立——系统）：</w:t>
      </w:r>
    </w:p>
    <w:p w14:paraId="5D697BE0">
      <w:pPr>
        <w:spacing w:after="100" w:line="360" w:lineRule="auto"/>
        <w:ind w:firstLine="480"/>
      </w:pPr>
      <w:r>
        <w:rPr>
          <w:rFonts w:ascii="Arial" w:hAnsi="Arial" w:eastAsia="宋体" w:cs="Arial"/>
          <w:sz w:val="21"/>
          <w:szCs w:val="21"/>
        </w:rPr>
        <w:t>一种基于版本锁定测试预言和分层执行证据的风控测试用例受控修复系统，包括：输入检测模块、证据关联模块、质量校验与根因定位模块、候选补丁生成模块、外部隔离验证接口模块、补丁输出模块和人工审核门禁模块，其特征在于，所述系统以分层执行证据和覆盖报告为输入并输出经过验证的修复补丁，且不包含策略配置文档解析模块、初始测试用例生成模块和初始批量执行模块。</w:t>
      </w:r>
    </w:p>
    <w:p w14:paraId="24E5BD4E">
      <w:pPr>
        <w:spacing w:after="100" w:line="360" w:lineRule="auto"/>
        <w:ind w:firstLine="480"/>
      </w:pPr>
      <w:r>
        <w:rPr>
          <w:rFonts w:ascii="Arial" w:hAnsi="Arial" w:eastAsia="微软雅黑" w:cs="Arial"/>
          <w:b/>
          <w:bCs/>
          <w:sz w:val="21"/>
          <w:szCs w:val="21"/>
        </w:rPr>
        <w:t>权利要求11（独立——电子设备）：</w:t>
      </w:r>
    </w:p>
    <w:p w14:paraId="78C2380C">
      <w:pPr>
        <w:spacing w:after="100" w:line="360" w:lineRule="auto"/>
        <w:ind w:firstLine="480"/>
      </w:pPr>
      <w:r>
        <w:rPr>
          <w:rFonts w:ascii="Arial" w:hAnsi="Arial" w:eastAsia="宋体" w:cs="Arial"/>
          <w:sz w:val="21"/>
          <w:szCs w:val="21"/>
        </w:rPr>
        <w:t>一种电子设备，包括处理器和存储器，所述存储器中存储有计算机程序，其特征在于，所述处理器执行所述计算机程序时实现权利要求1至9中任一项所述的方法。</w:t>
      </w:r>
    </w:p>
    <w:p w14:paraId="3DBD0AFC">
      <w:pPr>
        <w:spacing w:after="100" w:line="360" w:lineRule="auto"/>
        <w:ind w:firstLine="480"/>
      </w:pPr>
      <w:r>
        <w:rPr>
          <w:rFonts w:ascii="Arial" w:hAnsi="Arial" w:eastAsia="微软雅黑" w:cs="Arial"/>
          <w:b/>
          <w:bCs/>
          <w:sz w:val="21"/>
          <w:szCs w:val="21"/>
        </w:rPr>
        <w:t>权利要求12（独立——存储介质）：</w:t>
      </w:r>
    </w:p>
    <w:p w14:paraId="3F99D4D5">
      <w:pPr>
        <w:spacing w:after="100" w:line="360" w:lineRule="auto"/>
        <w:ind w:firstLine="480"/>
      </w:pPr>
      <w:r>
        <w:rPr>
          <w:rFonts w:ascii="Arial" w:hAnsi="Arial" w:eastAsia="宋体" w:cs="Arial"/>
          <w:sz w:val="21"/>
          <w:szCs w:val="21"/>
        </w:rPr>
        <w:t>一种计算机可读存储介质，其上存储有计算机程序，其特征在于，所述计算机程序被处理器执行时实现权利要求1至9中任一项所述的方法。</w:t>
      </w:r>
    </w:p>
    <w:p w14:paraId="75E7A81A">
      <w:pPr>
        <w:spacing w:after="60"/>
      </w:pPr>
    </w:p>
    <w:sectPr>
      <w:headerReference r:id="rId3" w:type="default"/>
      <w:footerReference r:id="rId4" w:type="default"/>
      <w:pgSz w:w="11906" w:h="16838"/>
      <w:pgMar w:top="873" w:right="788" w:bottom="590" w:left="873"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E8287">
    <w:pPr>
      <w:jc w:val="center"/>
    </w:pPr>
    <w:r>
      <w:rPr>
        <w:rFonts w:ascii="Arial" w:hAnsi="Arial" w:eastAsia="Arial" w:cs="Arial"/>
        <w:color w:val="999999"/>
        <w:sz w:val="18"/>
        <w:szCs w:val="18"/>
      </w:rPr>
      <w:t xml:space="preserve">2026-7-16 | 版权所有，侵权必究 | 第 </w:t>
    </w:r>
    <w:r>
      <w:rPr>
        <w:rFonts w:ascii="Arial" w:hAnsi="Arial" w:eastAsia="Arial" w:cs="Arial"/>
        <w:color w:val="999999"/>
        <w:sz w:val="18"/>
        <w:szCs w:val="18"/>
      </w:rPr>
      <w:fldChar w:fldCharType="begin"/>
    </w:r>
    <w:r>
      <w:rPr>
        <w:rFonts w:ascii="Arial" w:hAnsi="Arial" w:eastAsia="Arial" w:cs="Arial"/>
        <w:color w:val="999999"/>
        <w:sz w:val="18"/>
        <w:szCs w:val="18"/>
      </w:rPr>
      <w:instrText xml:space="preserve">PAGE</w:instrText>
    </w:r>
    <w:r>
      <w:rPr>
        <w:rFonts w:ascii="Arial" w:hAnsi="Arial" w:eastAsia="Arial" w:cs="Arial"/>
        <w:color w:val="999999"/>
        <w:sz w:val="18"/>
        <w:szCs w:val="18"/>
      </w:rPr>
      <w:fldChar w:fldCharType="separate"/>
    </w:r>
    <w:r>
      <w:rPr>
        <w:rFonts w:ascii="Arial" w:hAnsi="Arial" w:eastAsia="Arial" w:cs="Arial"/>
        <w:color w:val="999999"/>
        <w:sz w:val="18"/>
        <w:szCs w:val="18"/>
      </w:rPr>
      <w:fldChar w:fldCharType="end"/>
    </w:r>
    <w:r>
      <w:rPr>
        <w:rFonts w:ascii="Arial" w:hAnsi="Arial" w:eastAsia="Arial" w:cs="Arial"/>
        <w:color w:val="999999"/>
        <w:sz w:val="18"/>
        <w:szCs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340EF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isplayBackgroundShape w:val="1"/>
  <w:documentProtection w:enforcement="0"/>
  <w:compat>
    <w:useFELayout/>
    <w:compatSetting w:name="compatibilityMode" w:uri="http://schemas.microsoft.com/office/word" w:val="15"/>
  </w:compat>
  <w:rsids>
    <w:rsidRoot w:val="00000000"/>
    <w:rsid w:val="2DDDE6A0"/>
    <w:rsid w:val="D0FF28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Theme="minorHAnsi" w:hAnsiTheme="minorHAnsi" w:eastAsiaTheme="minorEastAsia" w:cstheme="minorBidi"/>
      <w:sz w:val="20"/>
      <w:szCs w:val="20"/>
    </w:rPr>
  </w:style>
  <w:style w:type="paragraph" w:styleId="9">
    <w:name w:val="footnote text"/>
    <w:link w:val="17"/>
    <w:semiHidden/>
    <w:unhideWhenUsed/>
    <w:uiPriority w:val="99"/>
    <w:pPr>
      <w:spacing w:after="0" w:line="240" w:lineRule="auto"/>
    </w:pPr>
    <w:rPr>
      <w:rFonts w:asciiTheme="minorHAnsi" w:hAnsiTheme="minorHAnsi" w:eastAsiaTheme="minorEastAsia" w:cstheme="minorBidi"/>
      <w:sz w:val="20"/>
      <w:szCs w:val="20"/>
    </w:rPr>
  </w:style>
  <w:style w:type="paragraph" w:styleId="10">
    <w:name w:val="Title"/>
    <w:qFormat/>
    <w:uiPriority w:val="0"/>
    <w:rPr>
      <w:rFonts w:asciiTheme="minorHAnsi" w:hAnsiTheme="minorHAnsi" w:eastAsiaTheme="minorEastAsia" w:cstheme="minorBidi"/>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TotalTime>4</TotalTime>
  <ScaleCrop>false</ScaleCrop>
  <LinksUpToDate>false</LinksUpToDate>
  <Application>WPS Office_12.1.26026.26026_F1E327BC-269C-435d-A152-05C5408002CA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2026-07-23T16:45:45Z</dcterms:created>
  <dc:creator>Un-named</dc:creator>
  <cp:lastModifiedBy>wty</cp:lastModifiedBy>
  <dcterms:modified xsi:type="dcterms:W3CDTF">2026-07-23T16:50:48Z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D7C1A24C943FEAA275BE616AE24F059D_42</vt:lpwstr>
  </property>
</Properties>
</file>