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D4572A"/>
          <w:sz w:val="18"/>
          <w:szCs w:val="18"/>
        </w:rPr>
        <w:t xml:space="preserve">HW-BOOT-001  /  HW-BOOT-002</w:t>
      </w:r>
    </w:p>
    <w:p>
      <w:pPr>
        <w:pStyle w:val="Title"/>
        <w:spacing w:after="80"/>
      </w:pPr>
      <w:r>
        <w:rPr>
          <w:rFonts w:ascii="Arial" w:cs="Arial" w:eastAsia="Arial" w:hAnsi="Arial"/>
          <w:b/>
          <w:bCs/>
          <w:color w:val="1A2E4A"/>
          <w:sz w:val="44"/>
          <w:szCs w:val="44"/>
        </w:rPr>
        <w:t xml:space="preserve">HydroWarm Boot</w:t>
      </w:r>
    </w:p>
    <w:p>
      <w:pPr>
        <w:spacing w:after="300"/>
      </w:pPr>
      <w:r>
        <w:rPr>
          <w:rFonts w:ascii="Arial" w:cs="Arial" w:eastAsia="Arial" w:hAnsi="Arial"/>
          <w:i/>
          <w:iCs/>
          <w:color w:val="52646D"/>
          <w:sz w:val="22"/>
          <w:szCs w:val="22"/>
        </w:rPr>
        <w:t xml:space="preserve">Arch-Hex Grid sole — Standard and Pro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30"/>
      </w:tblGrid>
      <w:tr>
        <w:trPr>
          <w:tblHeader/>
        </w:trPr>
        <w:tc>
          <w:tcPr>
            <w:tcW w:type="dxa" w:w="234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Retail price</w:t>
            </w:r>
          </w:p>
        </w:tc>
        <w:tc>
          <w:tcPr>
            <w:tcW w:type="dxa" w:w="234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Launch window</w:t>
            </w:r>
          </w:p>
        </w:tc>
        <w:tc>
          <w:tcPr>
            <w:tcW w:type="dxa" w:w="234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Sole material</w:t>
            </w:r>
          </w:p>
        </w:tc>
        <w:tc>
          <w:tcPr>
            <w:tcW w:type="dxa" w:w="233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Patent status</w:t>
            </w:r>
          </w:p>
        </w:tc>
      </w:tr>
      <w:tr>
        <w:tc>
          <w:tcPr>
            <w:tcW w:type="dxa" w:w="234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€39 (Standard) / €54 (Pro)</w:t>
            </w:r>
          </w:p>
        </w:tc>
        <w:tc>
          <w:tcPr>
            <w:tcW w:type="dxa" w:w="234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Year 2–3</w:t>
            </w:r>
          </w:p>
        </w:tc>
        <w:tc>
          <w:tcPr>
            <w:tcW w:type="dxa" w:w="234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Food-grade PP</w:t>
            </w:r>
          </w:p>
        </w:tc>
        <w:tc>
          <w:tcPr>
            <w:tcW w:type="dxa" w:w="233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Not yet filed — urgent</w:t>
            </w:r>
          </w:p>
        </w:tc>
      </w:tr>
    </w:tbl>
    <w:p>
      <w:pPr>
        <w:pStyle w:val="Heading1"/>
        <w:pBdr>
          <w:bottom w:val="single" w:color="1A6B8A" w:sz="6"/>
        </w:pBdr>
        <w:spacing w:after="160" w:before="380"/>
      </w:pPr>
      <w:r>
        <w:rPr>
          <w:rFonts w:ascii="Arial" w:cs="Arial" w:eastAsia="Arial" w:hAnsi="Arial"/>
          <w:b/>
          <w:bCs/>
          <w:color w:val="124B61"/>
          <w:sz w:val="30"/>
          <w:szCs w:val="30"/>
        </w:rPr>
        <w:t xml:space="preserve">1. Overview</w:t>
      </w:r>
    </w:p>
    <w:p>
      <w:pPr>
        <w:spacing w:after="140"/>
      </w:pPr>
      <w:r>
        <w:rPr>
          <w:rFonts w:ascii="Arial" w:cs="Arial" w:eastAsia="Arial" w:hAnsi="Arial"/>
          <w:color w:val="16232F"/>
          <w:sz w:val="20"/>
          <w:szCs w:val="20"/>
        </w:rPr>
        <w:t xml:space="preserve">Boot is the original HydroWarm idea — a hot water bottle worn at the foot instead of placed under it — engineered properly. It is deliberately the last product to launch, not the first: hot water products carry more complex CE certification than the PCM-cartridge Comfort and Charge systems, so Comfort proves the brand and the manufacturing relationships first, and Boot follows once that certification path is worked out.</w:t>
      </w:r>
    </w:p>
    <w:p>
      <w:pPr>
        <w:spacing w:after="140"/>
      </w:pPr>
      <w:r>
        <w:rPr>
          <w:rFonts w:ascii="Arial" w:cs="Arial" w:eastAsia="Arial" w:hAnsi="Arial"/>
          <w:color w:val="16232F"/>
          <w:sz w:val="20"/>
          <w:szCs w:val="20"/>
        </w:rPr>
        <w:t xml:space="preserve">The Arch-Hex Grid sole is the product's original patent-pending innovation. A flat hot-water bladder compresses shut under a standing foot, cutting off water flow exactly where warmth is needed most. The grid solves that: a field of hollow hexagonal columns holds an open water channel beneath the foot even under full standing load. The PCM cartridge system used in Comfort and Charge is a separate innovation but shares the same underlying principle — keep the heat-transfer medium unobstructed under load.</w:t>
      </w:r>
    </w:p>
    <w:p>
      <w:pPr>
        <w:pStyle w:val="Heading1"/>
        <w:pBdr>
          <w:bottom w:val="single" w:color="1A6B8A" w:sz="6"/>
        </w:pBdr>
        <w:spacing w:after="160" w:before="380"/>
      </w:pPr>
      <w:r>
        <w:rPr>
          <w:rFonts w:ascii="Arial" w:cs="Arial" w:eastAsia="Arial" w:hAnsi="Arial"/>
          <w:b/>
          <w:bCs/>
          <w:color w:val="124B61"/>
          <w:sz w:val="30"/>
          <w:szCs w:val="30"/>
        </w:rPr>
        <w:t xml:space="preserve">2. Bill of components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dxa" w:w="26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Component</w:t>
            </w:r>
          </w:p>
        </w:tc>
        <w:tc>
          <w:tcPr>
            <w:tcW w:type="dxa" w:w="4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Spec</w:t>
            </w:r>
          </w:p>
        </w:tc>
        <w:tc>
          <w:tcPr>
            <w:tcW w:type="dxa" w:w="25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Material</w:t>
            </w:r>
          </w:p>
        </w:tc>
      </w:tr>
      <w:tr>
        <w:tc>
          <w:tcPr>
            <w:tcW w:type="dxa" w:w="26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Sole</w:t>
            </w:r>
          </w:p>
        </w:tc>
        <w:tc>
          <w:tcPr>
            <w:tcW w:type="dxa" w:w="4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Arch-Hex Grid — three-zone hexagonal column field</w:t>
            </w:r>
          </w:p>
        </w:tc>
        <w:tc>
          <w:tcPr>
            <w:tcW w:type="dxa" w:w="2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Food-grade PP (FDA 21 CFR 177.1520)</w:t>
            </w:r>
          </w:p>
        </w:tc>
      </w:tr>
      <w:tr>
        <w:tc>
          <w:tcPr>
            <w:tcW w:type="dxa" w:w="26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Water bladder</w:t>
            </w:r>
          </w:p>
        </w:tc>
        <w:tc>
          <w:tcPr>
            <w:tcW w:type="dxa" w:w="4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Sealed, fills through single port, max 2 litres</w:t>
            </w:r>
          </w:p>
        </w:tc>
        <w:tc>
          <w:tcPr>
            <w:tcW w:type="dxa" w:w="2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TPR (thermoplastic rubber), food-grade</w:t>
            </w:r>
          </w:p>
        </w:tc>
      </w:tr>
      <w:tr>
        <w:tc>
          <w:tcPr>
            <w:tcW w:type="dxa" w:w="26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Lining</w:t>
            </w:r>
          </w:p>
        </w:tc>
        <w:tc>
          <w:tcPr>
            <w:tcW w:type="dxa" w:w="4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Sherpa fleece upper</w:t>
            </w:r>
          </w:p>
        </w:tc>
        <w:tc>
          <w:tcPr>
            <w:tcW w:type="dxa" w:w="2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Sherpa fleece</w:t>
            </w:r>
          </w:p>
        </w:tc>
      </w:tr>
      <w:tr>
        <w:tc>
          <w:tcPr>
            <w:tcW w:type="dxa" w:w="26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Standard closure</w:t>
            </w:r>
          </w:p>
        </w:tc>
        <w:tc>
          <w:tcPr>
            <w:tcW w:type="dxa" w:w="4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Pull-on boot shape</w:t>
            </w:r>
          </w:p>
        </w:tc>
        <w:tc>
          <w:tcPr>
            <w:tcW w:type="dxa" w:w="2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w:t>
            </w:r>
          </w:p>
        </w:tc>
      </w:tr>
      <w:tr>
        <w:tc>
          <w:tcPr>
            <w:tcW w:type="dxa" w:w="26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Pro closure</w:t>
            </w:r>
          </w:p>
        </w:tc>
        <w:tc>
          <w:tcPr>
            <w:tcW w:type="dxa" w:w="4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Side zipper — added for elderly / mobility-limited users</w:t>
            </w:r>
          </w:p>
        </w:tc>
        <w:tc>
          <w:tcPr>
            <w:tcW w:type="dxa" w:w="2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w:t>
            </w:r>
          </w:p>
        </w:tc>
      </w:tr>
    </w:tbl>
    <w:p>
      <w:pPr>
        <w:pStyle w:val="Heading1"/>
        <w:pBdr>
          <w:bottom w:val="single" w:color="1A6B8A" w:sz="6"/>
        </w:pBdr>
        <w:spacing w:after="160" w:before="380"/>
      </w:pPr>
      <w:r>
        <w:rPr>
          <w:rFonts w:ascii="Arial" w:cs="Arial" w:eastAsia="Arial" w:hAnsi="Arial"/>
          <w:b/>
          <w:bCs/>
          <w:color w:val="D4572A"/>
          <w:sz w:val="30"/>
          <w:szCs w:val="30"/>
        </w:rPr>
        <w:t xml:space="preserve">3. Arch-Hex Grid geometry</w:t>
      </w:r>
    </w:p>
    <w:p>
      <w:pPr>
        <w:shd w:fill="FBECE6" w:val="clear"/>
        <w:spacing w:after="140" w:before="80"/>
      </w:pPr>
      <w:r>
        <w:rPr>
          <w:rFonts w:ascii="Arial" w:cs="Arial" w:eastAsia="Arial" w:hAnsi="Arial"/>
          <w:b/>
          <w:bCs/>
          <w:color w:val="D4572A"/>
          <w:sz w:val="20"/>
          <w:szCs w:val="20"/>
        </w:rPr>
        <w:t xml:space="preserve">⚠  Column wall thickness (4mm ±0.1mm) is the critical load-bearing dimension — do not let a factory quote a thinner wall to save material. It is what keeps the channel open at full standing load.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Element</w:t>
            </w:r>
          </w:p>
        </w:tc>
        <w:tc>
          <w:tcPr>
            <w:tcW w:type="dxa" w:w="61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Specification</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Column shape</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Regular hexagon — upright, hollow, solid flat PP cap on top</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Column width — heel and toe zones</w:t>
            </w:r>
          </w:p>
        </w:tc>
        <w:tc>
          <w:tcPr>
            <w:tcW w:type="dxa" w:w="61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15mm flat-to-flat, +0/−0.2mm</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Column width — arch zone</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20–22mm flat-to-flat — wider for water flow</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Column height</w:t>
            </w:r>
          </w:p>
        </w:tc>
        <w:tc>
          <w:tcPr>
            <w:tcW w:type="dxa" w:w="61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8mm ±0.1mm</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Column wall thickness</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4mm ±0.1mm — critical load-bearing dimension</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Flat arch bridge</w:t>
            </w:r>
          </w:p>
        </w:tc>
        <w:tc>
          <w:tcPr>
            <w:tcW w:type="dxa" w:w="61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Spans a 5mm gap, rise-to-span ratio 0.2–0.4, base open 4–5mm</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Water channel</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Open beneath every column, 4–5mm height, never compressed</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Zone density</w:t>
            </w:r>
          </w:p>
        </w:tc>
        <w:tc>
          <w:tcPr>
            <w:tcW w:type="dxa" w:w="61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Heel: 15mm high density  ·  Arch: 20mm low density  ·  Toe: 15mm high density</w:t>
            </w:r>
          </w:p>
        </w:tc>
      </w:tr>
    </w:tbl>
    <w:p>
      <w:pPr>
        <w:pStyle w:val="Heading1"/>
        <w:pBdr>
          <w:bottom w:val="single" w:color="1A6B8A" w:sz="6"/>
        </w:pBdr>
        <w:spacing w:after="160" w:before="380"/>
      </w:pPr>
      <w:r>
        <w:rPr>
          <w:rFonts w:ascii="Arial" w:cs="Arial" w:eastAsia="Arial" w:hAnsi="Arial"/>
          <w:b/>
          <w:bCs/>
          <w:color w:val="D4572A"/>
          <w:sz w:val="30"/>
          <w:szCs w:val="30"/>
        </w:rPr>
        <w:t xml:space="preserve">4. Load rating and water safety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Parameter</w:t>
            </w:r>
          </w:p>
        </w:tc>
        <w:tc>
          <w:tcPr>
            <w:tcW w:type="dxa" w:w="61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Spec</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Load rating</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200kg+ static; tested to a 150kg standard</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Maximum water volume</w:t>
            </w:r>
          </w:p>
        </w:tc>
        <w:tc>
          <w:tcPr>
            <w:tcW w:type="dxa" w:w="61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 litres — hard limit across every HydroWarm hot-water product</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Bladder material</w:t>
            </w:r>
          </w:p>
        </w:tc>
        <w:tc>
          <w:tcPr>
            <w:tcW w:type="dxa" w:w="61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Food-grade TPR, sealed, single fill port</w:t>
            </w:r>
          </w:p>
        </w:tc>
      </w:tr>
    </w:tbl>
    <w:p>
      <w:pPr>
        <w:spacing w:after="140"/>
      </w:pPr>
      <w:r>
        <w:rPr>
          <w:rFonts w:ascii="Arial" w:cs="Arial" w:eastAsia="Arial" w:hAnsi="Arial"/>
          <w:color w:val="16232F"/>
          <w:sz w:val="20"/>
          <w:szCs w:val="20"/>
        </w:rPr>
        <w:t xml:space="preserve">The 2-litre maximum is a fixed safety constraint, not a per-product tuning value — it applies to Boot the same way it will apply to Neck and Cape when those reach spec. Do not increase it to chase a warmer product without a full safety re-review.</w:t>
      </w:r>
    </w:p>
    <w:p>
      <w:pPr>
        <w:pStyle w:val="Heading1"/>
        <w:pBdr>
          <w:bottom w:val="single" w:color="1A6B8A" w:sz="6"/>
        </w:pBdr>
        <w:spacing w:after="160" w:before="380"/>
      </w:pPr>
      <w:r>
        <w:rPr>
          <w:rFonts w:ascii="Arial" w:cs="Arial" w:eastAsia="Arial" w:hAnsi="Arial"/>
          <w:b/>
          <w:bCs/>
          <w:color w:val="124B61"/>
          <w:sz w:val="30"/>
          <w:szCs w:val="30"/>
        </w:rPr>
        <w:t xml:space="preserve">5. Standard vs Pro</w:t>
      </w:r>
    </w:p>
    <w:p>
      <w:pPr>
        <w:spacing w:after="140"/>
      </w:pPr>
      <w:r>
        <w:rPr>
          <w:rFonts w:ascii="Arial" w:cs="Arial" w:eastAsia="Arial" w:hAnsi="Arial"/>
          <w:color w:val="16232F"/>
          <w:sz w:val="20"/>
          <w:szCs w:val="20"/>
        </w:rPr>
        <w:t xml:space="preserve">Pro is mechanically identical to Standard — same sole, same bladder, same 2-litre limit — with one addition: a side zipper. It exists specifically for users with arthritis, reduced mobility, or Raynaud's who may struggle to pull a boot on and off. This is the product the planned user-testing protocol (via Reuma Nederland) is aimed at validating.</w:t>
      </w:r>
    </w:p>
    <w:p>
      <w:pPr>
        <w:pStyle w:val="Heading1"/>
        <w:pBdr>
          <w:bottom w:val="single" w:color="1A6B8A" w:sz="6"/>
        </w:pBdr>
        <w:spacing w:after="160" w:before="380"/>
      </w:pPr>
      <w:r>
        <w:rPr>
          <w:rFonts w:ascii="Arial" w:cs="Arial" w:eastAsia="Arial" w:hAnsi="Arial"/>
          <w:b/>
          <w:bCs/>
          <w:color w:val="124B61"/>
          <w:sz w:val="30"/>
          <w:szCs w:val="30"/>
        </w:rPr>
        <w:t xml:space="preserve">6. Manufacturing and sourcing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Component</w:t>
            </w:r>
          </w:p>
        </w:tc>
        <w:tc>
          <w:tcPr>
            <w:tcW w:type="dxa" w:w="29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Sourcing (launch)</w:t>
            </w:r>
          </w:p>
        </w:tc>
        <w:tc>
          <w:tcPr>
            <w:tcW w:type="dxa" w:w="35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Note</w:t>
            </w:r>
          </w:p>
        </w:tc>
      </w:tr>
      <w:tr>
        <w:tc>
          <w:tcPr>
            <w:tcW w:type="dxa" w:w="2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Arch-Hex Grid sole</w:t>
            </w:r>
          </w:p>
        </w:tc>
        <w:tc>
          <w:tcPr>
            <w:tcW w:type="dxa" w:w="2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China (launch) → Poland (Year 2)</w:t>
            </w:r>
          </w:p>
        </w:tc>
        <w:tc>
          <w:tcPr>
            <w:tcW w:type="dxa" w:w="3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Injection moulding — Poland has a strong plastics sector for the EU-premium track</w:t>
            </w:r>
          </w:p>
        </w:tc>
      </w:tr>
      <w:tr>
        <w:tc>
          <w:tcPr>
            <w:tcW w:type="dxa" w:w="2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Boot / slipper fabric assembly</w:t>
            </w:r>
          </w:p>
        </w:tc>
        <w:tc>
          <w:tcPr>
            <w:tcW w:type="dxa" w:w="29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China (launch) → Portugal (Year 2)</w:t>
            </w:r>
          </w:p>
        </w:tc>
        <w:tc>
          <w:tcPr>
            <w:tcW w:type="dxa" w:w="35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Minky plush + sherpa sewing — Braga/Porto region for Year 2</w:t>
            </w:r>
          </w:p>
        </w:tc>
      </w:tr>
      <w:tr>
        <w:tc>
          <w:tcPr>
            <w:tcW w:type="dxa" w:w="2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TPR hot water bladder</w:t>
            </w:r>
          </w:p>
        </w:tc>
        <w:tc>
          <w:tcPr>
            <w:tcW w:type="dxa" w:w="29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China</w:t>
            </w:r>
          </w:p>
        </w:tc>
        <w:tc>
          <w:tcPr>
            <w:tcW w:type="dxa" w:w="35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Specialist TPR moulding, food-grade, ISO 9001 required</w:t>
            </w:r>
          </w:p>
        </w:tc>
      </w:tr>
    </w:tbl>
    <w:p>
      <w:pPr>
        <w:pStyle w:val="Heading1"/>
        <w:pBdr>
          <w:bottom w:val="single" w:color="1A6B8A" w:sz="6"/>
        </w:pBdr>
        <w:spacing w:after="160" w:before="380"/>
      </w:pPr>
      <w:r>
        <w:rPr>
          <w:rFonts w:ascii="Arial" w:cs="Arial" w:eastAsia="Arial" w:hAnsi="Arial"/>
          <w:b/>
          <w:bCs/>
          <w:color w:val="124B61"/>
          <w:sz w:val="30"/>
          <w:szCs w:val="30"/>
        </w:rPr>
        <w:t xml:space="preserve">7. COGS and retail pricing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100"/>
      </w:tblGrid>
      <w:tr>
        <w:trPr>
          <w:tblHeader/>
        </w:trPr>
        <w:tc>
          <w:tcPr>
            <w:tcW w:type="dxa" w:w="32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Item</w:t>
            </w:r>
          </w:p>
        </w:tc>
        <w:tc>
          <w:tcPr>
            <w:tcW w:type="dxa" w:w="305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China track (launch)</w:t>
            </w:r>
          </w:p>
        </w:tc>
        <w:tc>
          <w:tcPr>
            <w:tcW w:type="dxa" w:w="3100"/>
            <w:tcBorders>
              <w:top w:val="single" w:color="D7E1DE" w:sz="4"/>
              <w:left w:val="none" w:color="FFFFFF" w:sz="0"/>
              <w:bottom w:val="single" w:color="D7E1DE" w:sz="4"/>
              <w:right w:val="none" w:color="FFFFFF" w:sz="0"/>
            </w:tcBorders>
            <w:shd w:fill="1A6B8A" w:val="clear"/>
            <w:tcMar>
              <w:top w:type="dxa" w:w="90"/>
              <w:left w:type="dxa" w:w="120"/>
              <w:bottom w:type="dxa" w:w="90"/>
              <w:right w:type="dxa" w:w="120"/>
            </w:tcMar>
            <w:vAlign w:val="center"/>
          </w:tcPr>
          <w:p>
            <w:r>
              <w:rPr>
                <w:rFonts w:ascii="Arial" w:cs="Arial" w:eastAsia="Arial" w:hAnsi="Arial"/>
                <w:b/>
                <w:bCs/>
                <w:color w:val="FFFFFF"/>
                <w:sz w:val="18"/>
                <w:szCs w:val="18"/>
              </w:rPr>
              <w:t xml:space="preserve">EU premium track (Year 2)</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COGS — Boot</w:t>
            </w:r>
          </w:p>
        </w:tc>
        <w:tc>
          <w:tcPr>
            <w:tcW w:type="dxa" w:w="30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€7–12</w:t>
            </w:r>
          </w:p>
        </w:tc>
        <w:tc>
          <w:tcPr>
            <w:tcW w:type="dxa" w:w="31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€20–28</w:t>
            </w:r>
          </w:p>
        </w:tc>
      </w:tr>
      <w:tr>
        <w:tc>
          <w:tcPr>
            <w:tcW w:type="dxa" w:w="32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Retail price — Standard</w:t>
            </w:r>
          </w:p>
        </w:tc>
        <w:tc>
          <w:tcPr>
            <w:tcW w:type="dxa" w:w="305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€39</w:t>
            </w:r>
          </w:p>
        </w:tc>
        <w:tc>
          <w:tcPr>
            <w:tcW w:type="dxa" w:w="3100"/>
            <w:tcBorders>
              <w:top w:val="single" w:color="D7E1DE" w:sz="4"/>
              <w:left w:val="none" w:color="FFFFFF" w:sz="0"/>
              <w:bottom w:val="single" w:color="D7E1DE" w:sz="4"/>
              <w:right w:val="none" w:color="FFFFFF" w:sz="0"/>
            </w:tcBorders>
            <w:shd w:fill="FFFFFF"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€39 (or premium repositioning TBC)</w:t>
            </w:r>
          </w:p>
        </w:tc>
      </w:tr>
      <w:tr>
        <w:tc>
          <w:tcPr>
            <w:tcW w:type="dxa" w:w="32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Retail price — Pro</w:t>
            </w:r>
          </w:p>
        </w:tc>
        <w:tc>
          <w:tcPr>
            <w:tcW w:type="dxa" w:w="305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€54</w:t>
            </w:r>
          </w:p>
        </w:tc>
        <w:tc>
          <w:tcPr>
            <w:tcW w:type="dxa" w:w="3100"/>
            <w:tcBorders>
              <w:top w:val="single" w:color="D7E1DE" w:sz="4"/>
              <w:left w:val="none" w:color="FFFFFF" w:sz="0"/>
              <w:bottom w:val="single" w:color="D7E1DE" w:sz="4"/>
              <w:right w:val="none" w:color="FFFFFF" w:sz="0"/>
            </w:tcBorders>
            <w:shd w:fill="EEF3F2" w:val="clear"/>
            <w:tcMar>
              <w:top w:type="dxa" w:w="90"/>
              <w:left w:type="dxa" w:w="120"/>
              <w:bottom w:type="dxa" w:w="90"/>
              <w:right w:type="dxa" w:w="120"/>
            </w:tcMar>
            <w:vAlign w:val="center"/>
          </w:tcPr>
          <w:p>
            <w:r>
              <w:rPr>
                <w:rFonts w:ascii="Arial" w:cs="Arial" w:eastAsia="Arial" w:hAnsi="Arial"/>
                <w:b w:val="false"/>
                <w:bCs w:val="false"/>
                <w:color w:val="16232F"/>
                <w:sz w:val="18"/>
                <w:szCs w:val="18"/>
              </w:rPr>
              <w:t xml:space="preserve">€54 (or premium repositioning TBC)</w:t>
            </w:r>
          </w:p>
        </w:tc>
      </w:tr>
    </w:tbl>
    <w:p>
      <w:pPr>
        <w:pStyle w:val="Heading1"/>
        <w:pBdr>
          <w:bottom w:val="single" w:color="1A6B8A" w:sz="6"/>
        </w:pBdr>
        <w:spacing w:after="160" w:before="380"/>
      </w:pPr>
      <w:r>
        <w:rPr>
          <w:rFonts w:ascii="Arial" w:cs="Arial" w:eastAsia="Arial" w:hAnsi="Arial"/>
          <w:b/>
          <w:bCs/>
          <w:color w:val="124B61"/>
          <w:sz w:val="30"/>
          <w:szCs w:val="30"/>
        </w:rPr>
        <w:t xml:space="preserve">8. Patent status</w:t>
      </w:r>
    </w:p>
    <w:p>
      <w:pPr>
        <w:spacing w:after="140"/>
      </w:pPr>
      <w:r>
        <w:rPr>
          <w:rFonts w:ascii="Arial" w:cs="Arial" w:eastAsia="Arial" w:hAnsi="Arial"/>
          <w:color w:val="16232F"/>
          <w:sz w:val="20"/>
          <w:szCs w:val="20"/>
        </w:rPr>
        <w:t xml:space="preserve">The Arch-Hex Grid sole is Patent 1 in the HydroWarm portfolio — a separate filing from the PCM/induction Patent 2 that covers Comfort and Charge. As of this specification, it has not yet been filed. This is the single most urgent open item blocking any public disclosure of the Boot design to factories, partners, or investors. Filing is at mijn.rvo.nl with DigiD; claims must be in Dutch. Claim drafting itself is attorney territory and is out of scope for this factory spec — see the separate Patent Brief for claim language.</w:t>
      </w:r>
    </w:p>
    <w:p>
      <w:pPr>
        <w:pStyle w:val="Heading1"/>
        <w:pBdr>
          <w:bottom w:val="single" w:color="1A6B8A" w:sz="6"/>
        </w:pBdr>
        <w:spacing w:after="160" w:before="380"/>
      </w:pPr>
      <w:r>
        <w:rPr>
          <w:rFonts w:ascii="Arial" w:cs="Arial" w:eastAsia="Arial" w:hAnsi="Arial"/>
          <w:b/>
          <w:bCs/>
          <w:color w:val="124B61"/>
          <w:sz w:val="30"/>
          <w:szCs w:val="30"/>
        </w:rPr>
        <w:t xml:space="preserve">9. Certification</w:t>
      </w:r>
    </w:p>
    <w:p>
      <w:pPr>
        <w:spacing w:after="140"/>
      </w:pPr>
      <w:r>
        <w:rPr>
          <w:rFonts w:ascii="Arial" w:cs="Arial" w:eastAsia="Arial" w:hAnsi="Arial"/>
          <w:color w:val="16232F"/>
          <w:sz w:val="20"/>
          <w:szCs w:val="20"/>
        </w:rPr>
        <w:t xml:space="preserve">Hot water products carry more complex CE certification than the induction-based Comfort and Charge systems — this is the documented reason Boot launches last, after the brand and manufacturing relationships are already proven. The specific standard and test budget for the Boot bladder and fill mechanism aren't yet pinned down in the current plan; get that confirmed with a certification body before committing to bladder tooling, the same way DEKRA is being used for the induction-plate standard on Comfort and Charge.</w:t>
      </w:r>
    </w:p>
    <w:p>
      <w:pPr>
        <w:pStyle w:val="Heading1"/>
        <w:pBdr>
          <w:bottom w:val="single" w:color="1A6B8A" w:sz="6"/>
        </w:pBdr>
        <w:spacing w:after="160" w:before="380"/>
      </w:pPr>
      <w:r>
        <w:rPr>
          <w:rFonts w:ascii="Arial" w:cs="Arial" w:eastAsia="Arial" w:hAnsi="Arial"/>
          <w:b/>
          <w:bCs/>
          <w:color w:val="124B61"/>
          <w:sz w:val="30"/>
          <w:szCs w:val="30"/>
        </w:rPr>
        <w:t xml:space="preserve">10. Do not change without explicit discussion</w:t>
      </w:r>
    </w:p>
    <w:p>
      <w:pPr>
        <w:pStyle w:val="ListParagraph"/>
        <w:numPr>
          <w:ilvl w:val="0"/>
          <w:numId w:val="1"/>
        </w:numPr>
        <w:spacing w:after="60"/>
      </w:pPr>
      <w:r>
        <w:rPr>
          <w:rFonts w:ascii="Arial" w:cs="Arial" w:eastAsia="Arial" w:hAnsi="Arial"/>
          <w:color w:val="16232F"/>
          <w:sz w:val="20"/>
          <w:szCs w:val="20"/>
        </w:rPr>
        <w:t xml:space="preserve">The 2-litre maximum water volume — a fixed safety rule across every hot-water product, not a per-product setting.</w:t>
      </w:r>
    </w:p>
    <w:p>
      <w:pPr>
        <w:pStyle w:val="ListParagraph"/>
        <w:numPr>
          <w:ilvl w:val="0"/>
          <w:numId w:val="1"/>
        </w:numPr>
        <w:spacing w:after="60"/>
      </w:pPr>
      <w:r>
        <w:rPr>
          <w:rFonts w:ascii="Arial" w:cs="Arial" w:eastAsia="Arial" w:hAnsi="Arial"/>
          <w:color w:val="16232F"/>
          <w:sz w:val="20"/>
          <w:szCs w:val="20"/>
        </w:rPr>
        <w:t xml:space="preserve">Column wall thickness: 4mm ±0.1mm — the load-bearing dimension that keeps the water channel open.</w:t>
      </w:r>
    </w:p>
    <w:p>
      <w:pPr>
        <w:pStyle w:val="ListParagraph"/>
        <w:numPr>
          <w:ilvl w:val="0"/>
          <w:numId w:val="1"/>
        </w:numPr>
        <w:spacing w:after="60"/>
      </w:pPr>
      <w:r>
        <w:rPr>
          <w:rFonts w:ascii="Arial" w:cs="Arial" w:eastAsia="Arial" w:hAnsi="Arial"/>
          <w:color w:val="16232F"/>
          <w:sz w:val="20"/>
          <w:szCs w:val="20"/>
        </w:rPr>
        <w:t xml:space="preserve">The open water channel itself (4–5mm, never compressed) — this is the entire point of the Arch-Hex Grid over a flat bladder.</w:t>
      </w:r>
    </w:p>
    <w:p>
      <w:pPr>
        <w:pStyle w:val="ListParagraph"/>
        <w:numPr>
          <w:ilvl w:val="0"/>
          <w:numId w:val="1"/>
        </w:numPr>
        <w:spacing w:after="60"/>
      </w:pPr>
      <w:r>
        <w:rPr>
          <w:rFonts w:ascii="Arial" w:cs="Arial" w:eastAsia="Arial" w:hAnsi="Arial"/>
          <w:color w:val="16232F"/>
          <w:sz w:val="20"/>
          <w:szCs w:val="20"/>
        </w:rPr>
        <w:t xml:space="preserve">Launch sequence: Boot launches last, after Comfort and Charge, due to hot-water certification complexity.</w:t>
      </w:r>
    </w:p>
    <w:p>
      <w:pPr>
        <w:pStyle w:val="ListParagraph"/>
        <w:numPr>
          <w:ilvl w:val="0"/>
          <w:numId w:val="1"/>
        </w:numPr>
        <w:spacing w:after="60"/>
      </w:pPr>
      <w:r>
        <w:rPr>
          <w:rFonts w:ascii="Arial" w:cs="Arial" w:eastAsia="Arial" w:hAnsi="Arial"/>
          <w:color w:val="16232F"/>
          <w:sz w:val="20"/>
          <w:szCs w:val="20"/>
        </w:rPr>
        <w:t xml:space="preserve">Food-grade PP (FDA 21 CFR 177.1520) for the sole — not a cost-driven material substitution.</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Boot / Arch-Hex Factory Spec v1.0  |  July 2026  |  Warm the person. Not the room.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F4B896"/>
              <w:sz w:val="18"/>
              <w:szCs w:val="18"/>
            </w:rPr>
            <w:t xml:space="preserve">   Boot — Arch-Hex Grid Sole Factory Specification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2026-07-25T09:01:11.627Z</dcterms:created>
  <dcterms:modified xsi:type="dcterms:W3CDTF">2026-07-25T09:01:11.643Z</dcterms:modified>
</cp:coreProperties>
</file>

<file path=docProps/custom.xml><?xml version="1.0" encoding="utf-8"?>
<Properties xmlns="http://schemas.openxmlformats.org/officeDocument/2006/custom-properties" xmlns:vt="http://schemas.openxmlformats.org/officeDocument/2006/docPropsVTypes"/>
</file>