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rial" w:cs="Arial" w:eastAsia="Arial" w:hAnsi="Arial"/>
          <w:b/>
          <w:bCs/>
          <w:color w:val="D4860A"/>
          <w:sz w:val="18"/>
          <w:szCs w:val="18"/>
        </w:rPr>
        <w:t xml:space="preserve">HW-CHARGE-SGL-SYS  /  HW-CHARGE-DBL-SYS</w:t>
      </w:r>
    </w:p>
    <w:p>
      <w:pPr>
        <w:pStyle w:val="Title"/>
        <w:spacing w:after="8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HydroWarm Charge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2646D"/>
          <w:sz w:val="22"/>
          <w:szCs w:val="22"/>
        </w:rPr>
        <w:t xml:space="preserve">Dual-zone premium system — Single and Double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30"/>
      </w:tblGrid>
      <w:tr>
        <w:trPr>
          <w:tblHeader/>
        </w:trPr>
        <w:tc>
          <w:tcPr>
            <w:tcW w:type="dxa" w:w="234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Retail price</w:t>
            </w:r>
          </w:p>
        </w:tc>
        <w:tc>
          <w:tcPr>
            <w:tcW w:type="dxa" w:w="234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Launch window</w:t>
            </w:r>
          </w:p>
        </w:tc>
        <w:tc>
          <w:tcPr>
            <w:tcW w:type="dxa" w:w="234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 material</w:t>
            </w:r>
          </w:p>
        </w:tc>
        <w:tc>
          <w:tcPr>
            <w:tcW w:type="dxa" w:w="233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standard</w:t>
            </w:r>
          </w:p>
        </w:tc>
      </w:tr>
      <w:tr>
        <w:tc>
          <w:tcPr>
            <w:tcW w:type="dxa" w:w="234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€59 (Single) / €69 (Double)</w:t>
            </w:r>
          </w:p>
        </w:tc>
        <w:tc>
          <w:tcPr>
            <w:tcW w:type="dxa" w:w="234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Year 1–2</w:t>
            </w:r>
          </w:p>
        </w:tc>
        <w:tc>
          <w:tcPr>
            <w:tcW w:type="dxa" w:w="234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Aluminium 6061 alloy</w:t>
            </w:r>
          </w:p>
        </w:tc>
        <w:tc>
          <w:tcPr>
            <w:tcW w:type="dxa" w:w="233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IEC 60335-2-81</w:t>
            </w:r>
          </w:p>
        </w:tc>
      </w:tr>
    </w:tbl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1. Overview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Charge is the premium tier, arriving after Comfort has proven the core PCM-and-induction technology in market. Where Comfort is single-zone and velcro-closed, Charge adds independently-regulated heel and toe zones, a load-bearing aluminium frame that doubles as the heat-conduction path, and tool-free neodymium magnetic cartridge retention. Double is the same system built into one wide slipper for both feet.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Charge shares its underlying PCM chemistry and induction principle with Comfort — this spec covers only what is different: the frame, the dual-zone cartridge, the magnetic retention, the branding window, and the four-coil induction plate.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2. Bill of components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50"/>
      </w:tblGrid>
      <w:tr>
        <w:trPr>
          <w:tblHeader/>
        </w:trP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2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Frame</w:t>
            </w:r>
          </w:p>
        </w:tc>
        <w:tc>
          <w:tcPr>
            <w:tcW w:type="dxa" w:w="4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Channel frame, load-bearing + heat conduction</w:t>
            </w:r>
          </w:p>
        </w:tc>
        <w:tc>
          <w:tcPr>
            <w:tcW w:type="dxa" w:w="2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Aluminium 6061 alloy, anodised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Cartridge zones</w:t>
            </w:r>
          </w:p>
        </w:tc>
        <w:tc>
          <w:tcPr>
            <w:tcW w:type="dxa" w:w="4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2 per foot — heel 10×9cm, toe 12×9cm</w:t>
            </w:r>
          </w:p>
        </w:tc>
        <w:tc>
          <w:tcPr>
            <w:tcW w:type="dxa" w:w="2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TPU pouch with magnetic strip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Retention</w:t>
            </w:r>
          </w:p>
        </w:tc>
        <w:tc>
          <w:tcPr>
            <w:tcW w:type="dxa" w:w="4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Neodymium magnetic click, 3–5N engage / 5–8N release</w:t>
            </w:r>
          </w:p>
        </w:tc>
        <w:tc>
          <w:tcPr>
            <w:tcW w:type="dxa" w:w="2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N35-grade neodymium, rated to 80°C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Branding window</w:t>
            </w:r>
          </w:p>
        </w:tc>
        <w:tc>
          <w:tcPr>
            <w:tcW w:type="dxa" w:w="4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Translucent face, HydroWarm embossed</w:t>
            </w:r>
          </w:p>
        </w:tc>
        <w:tc>
          <w:tcPr>
            <w:tcW w:type="dxa" w:w="2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TPU — amber gel visible through face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Induction disc</w:t>
            </w:r>
          </w:p>
        </w:tc>
        <w:tc>
          <w:tcPr>
            <w:tcW w:type="dxa" w:w="4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Bonded to base of EACH cartridge, not the sole</w:t>
            </w:r>
          </w:p>
        </w:tc>
        <w:tc>
          <w:tcPr>
            <w:tcW w:type="dxa" w:w="2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430-grade ferromagnetic stainless / carbon steel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Induction plate</w:t>
            </w:r>
          </w:p>
        </w:tc>
        <w:tc>
          <w:tcPr>
            <w:tcW w:type="dxa" w:w="4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50 × 30 × 12mm, 4 coils (2 zones × 2 feet)</w:t>
            </w:r>
          </w:p>
        </w:tc>
        <w:tc>
          <w:tcPr>
            <w:tcW w:type="dxa" w:w="2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ABS housing, non-ferromagnetic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Indicator</w:t>
            </w:r>
          </w:p>
        </w:tc>
        <w:tc>
          <w:tcPr>
            <w:tcW w:type="dxa" w:w="4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Amber LED while heating, green LED at temperature — independent per zone</w:t>
            </w:r>
          </w:p>
        </w:tc>
        <w:tc>
          <w:tcPr>
            <w:tcW w:type="dxa" w:w="2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3. Aluminium frame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6061-alloy channel frame, anodised. It does two jobs at once: it bears the load of a seated or lightly-standing foot, and it conducts heat from the induction-heated disc into the cartridge walls from more than one side — the reason Charge cartridges feel warmer, faster, than Comfort's single-sided tray contact. This is a deliberate upgrade from Comfort's PP tray, which was kept cheap and induction-transparent instead; Charge can afford aluminium because the price point supports it.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D4860A"/>
          <w:sz w:val="30"/>
          <w:szCs w:val="30"/>
        </w:rPr>
        <w:t xml:space="preserve">4. Cartridge — dual zone and magnetic retention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6232F"/>
          <w:sz w:val="24"/>
          <w:szCs w:val="24"/>
        </w:rPr>
        <w:t xml:space="preserve">4.1 Zones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Two independently thermally-regulated zones per foot: heel (10×9cm) and toe (12×9cm). Each has its own induction coil pair and its own LED indicator, so heel and toe can be run at different levels — the feature Comfort's single zone deliberately doesn't offer.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6232F"/>
          <w:sz w:val="24"/>
          <w:szCs w:val="24"/>
        </w:rPr>
        <w:t xml:space="preserve">4.2 Retention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Neodymium magnetic click, engineered to feel like a laptop charging connector: 3–5N to engage, 5–8N to release. Tool-free, satisfying, and rated for repeated daily removal without wearing a mechanism the way a zip or snap would. Magnets are N35 grade, rated to 80°C — comfortably above the PCM's 38–42°C operating range.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6232F"/>
          <w:sz w:val="24"/>
          <w:szCs w:val="24"/>
        </w:rPr>
        <w:t xml:space="preserve">4.3 Branding window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A translucent TPU face on each cartridge, HydroWarm embossed, lets the amber PCM gel show through as it heats — the visible-technology moment the brand leans on in the heel slot. This is Charge-only; Comfort's cartridge is fully enclosed in fabric.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D4860A"/>
          <w:sz w:val="30"/>
          <w:szCs w:val="30"/>
        </w:rPr>
        <w:t xml:space="preserve">5. PCM gel fill (shared technology)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Same core chemistry as Comfort — PEG 1000, 38–42°C self-regulating phase change, food-grade, 1,000+ stable cycles. What changes on Charge is packaging (magnetic-strip TPU pouch, two zones per foot) and control (independent per-zone regulation via the four-coil plate), not the gel itself.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D4860A"/>
          <w:sz w:val="30"/>
          <w:szCs w:val="30"/>
        </w:rPr>
        <w:t xml:space="preserve">6. Induction plate (Charge variant)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50"/>
      </w:tblGrid>
      <w:tr>
        <w:trPr>
          <w:tblHeader/>
        </w:trP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D4860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4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D4860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3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D4860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Dimensions</w:t>
            </w:r>
          </w:p>
        </w:tc>
        <w:tc>
          <w:tcPr>
            <w:tcW w:type="dxa" w:w="34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50 × 30 × 12mm</w:t>
            </w:r>
          </w:p>
        </w:tc>
        <w:tc>
          <w:tcPr>
            <w:tcW w:type="dxa" w:w="3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4 coils total — 2 independent zones per foot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Steel disc material</w:t>
            </w:r>
          </w:p>
        </w:tc>
        <w:tc>
          <w:tcPr>
            <w:tcW w:type="dxa" w:w="34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Ferromagnetic only — carbon steel or 430-grade stainless</w:t>
            </w:r>
          </w:p>
        </w:tc>
        <w:tc>
          <w:tcPr>
            <w:tcW w:type="dxa" w:w="3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NEVER 304 stainless — non-magnetic, will not heat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Plate housing</w:t>
            </w:r>
          </w:p>
        </w:tc>
        <w:tc>
          <w:tcPr>
            <w:tcW w:type="dxa" w:w="34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ABS plastic</w:t>
            </w:r>
          </w:p>
        </w:tc>
        <w:tc>
          <w:tcPr>
            <w:tcW w:type="dxa" w:w="3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Non-ferromagnetic — no metal reinforcement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Coil frequency</w:t>
            </w:r>
          </w:p>
        </w:tc>
        <w:tc>
          <w:tcPr>
            <w:tcW w:type="dxa" w:w="34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20–100kHz</w:t>
            </w:r>
          </w:p>
        </w:tc>
        <w:tc>
          <w:tcPr>
            <w:tcW w:type="dxa" w:w="3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Confirm exact frequency with electronics OEM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Surface temp (no cartridge)</w:t>
            </w:r>
          </w:p>
        </w:tc>
        <w:tc>
          <w:tcPr>
            <w:tcW w:type="dxa" w:w="34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&lt; 10°C rise above ambient</w:t>
            </w:r>
          </w:p>
        </w:tc>
        <w:tc>
          <w:tcPr>
            <w:tcW w:type="dxa" w:w="3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Returns within 5°C of ambient within 5 minutes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Detection</w:t>
            </w:r>
          </w:p>
        </w:tc>
        <w:tc>
          <w:tcPr>
            <w:tcW w:type="dxa" w:w="34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Auto on/off per zone, ferromagnetic-disc triggered</w:t>
            </w:r>
          </w:p>
        </w:tc>
        <w:tc>
          <w:tcPr>
            <w:tcW w:type="dxa" w:w="3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Near-zero standby power with no cartridge present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Indicator</w:t>
            </w:r>
          </w:p>
        </w:tc>
        <w:tc>
          <w:tcPr>
            <w:tcW w:type="dxa" w:w="34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Amber LED heating / green LED at temperature</w:t>
            </w:r>
          </w:p>
        </w:tc>
        <w:tc>
          <w:tcPr>
            <w:tcW w:type="dxa" w:w="3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Independent per zone — 4 indicators total</w:t>
            </w:r>
          </w:p>
        </w:tc>
      </w:tr>
    </w:tbl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7. Manufacturing and sourcing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50"/>
      </w:tblGrid>
      <w:tr>
        <w:trPr>
          <w:tblHeader/>
        </w:trPr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Sourcing (launch)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Aluminium channel frame</w:t>
            </w:r>
          </w:p>
        </w:tc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China (launch) → Poland (Year 2)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6061 alloy, anodised</w:t>
            </w:r>
          </w:p>
        </w:tc>
      </w:tr>
      <w:tr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Slipper fabric assembly</w:t>
            </w:r>
          </w:p>
        </w:tc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China (launch) → Portugal (Year 2)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Minky plush + sherpa sewing</w:t>
            </w:r>
          </w:p>
        </w:tc>
      </w:tr>
      <w:tr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PCM gel fill</w:t>
            </w:r>
          </w:p>
        </w:tc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EU supplier preferred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PEG 1000 from Sigma Aldrich or Croda EU</w:t>
            </w:r>
          </w:p>
        </w:tc>
      </w:tr>
      <w:tr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PCM cartridge (magnetic TPU pouch)</w:t>
            </w:r>
          </w:p>
        </w:tc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China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Heat-welded TPU, food-grade, magnetic strip</w:t>
            </w:r>
          </w:p>
        </w:tc>
      </w:tr>
      <w:tr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Induction steel disc</w:t>
            </w:r>
          </w:p>
        </w:tc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China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430-grade ferromagnetic stainless only — not 304</w:t>
            </w:r>
          </w:p>
        </w:tc>
      </w:tr>
      <w:tr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Neodymium magnets</w:t>
            </w:r>
          </w:p>
        </w:tc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China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N35 grade, rated to 80°C, 3–5N engagement force</w:t>
            </w:r>
          </w:p>
        </w:tc>
      </w:tr>
      <w:tr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Induction plate PCB + coil</w:t>
            </w:r>
          </w:p>
        </w:tc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China — electronics OEM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Confirm coil frequency (20–100kHz) with supplier</w:t>
            </w:r>
          </w:p>
        </w:tc>
      </w:tr>
    </w:tbl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8. COGS and retail pricing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50"/>
      </w:tblGrid>
      <w:tr>
        <w:trPr>
          <w:tblHeader/>
        </w:trPr>
        <w:tc>
          <w:tcPr>
            <w:tcW w:type="dxa" w:w="3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COGS</w:t>
            </w:r>
          </w:p>
        </w:tc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Not yet quoted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Pending first factory sample — request alongside Comfort's China-track quote</w:t>
            </w:r>
          </w:p>
        </w:tc>
      </w:tr>
      <w:tr>
        <w:tc>
          <w:tcPr>
            <w:tcW w:type="dxa" w:w="3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Retail price — Single</w:t>
            </w:r>
          </w:p>
        </w:tc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€59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Locked</w:t>
            </w:r>
          </w:p>
        </w:tc>
      </w:tr>
      <w:tr>
        <w:tc>
          <w:tcPr>
            <w:tcW w:type="dxa" w:w="3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Retail price — Double</w:t>
            </w:r>
          </w:p>
        </w:tc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€69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Locked — same system, one wide slipper for both feet</w:t>
            </w:r>
          </w:p>
        </w:tc>
      </w:tr>
      <w:tr>
        <w:tc>
          <w:tcPr>
            <w:tcW w:type="dxa" w:w="3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Replacement cartridge (4-pack)</w:t>
            </w:r>
          </w:p>
        </w:tc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€19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HW-CHARGE-CART, dual-zone with magnetic strips</w:t>
            </w:r>
          </w:p>
        </w:tc>
      </w:tr>
    </w:tbl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9. Patent claim mapping (reference only)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Charge-specific features map to the dependent claims in Patent Brief v3.0, filed against the shared Claim 1 base (wearable footwear + replaceable PCM cartridge + separate induction plate + auto-regulating temperature) that also covers Comfort. This section is for internal tracking only — claim language itself belongs in the patent brief and is attorney territory, not this factory spec.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10"/>
      </w:tblGrid>
      <w:tr>
        <w:trPr>
          <w:tblHeader/>
        </w:trPr>
        <w:tc>
          <w:tcPr>
            <w:tcW w:type="dxa" w:w="234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Claims</w:t>
            </w:r>
          </w:p>
        </w:tc>
        <w:tc>
          <w:tcPr>
            <w:tcW w:type="dxa" w:w="701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234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2–3</w:t>
            </w:r>
          </w:p>
        </w:tc>
        <w:tc>
          <w:tcPr>
            <w:tcW w:type="dxa" w:w="701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Access mechanism (velcro or magnetic) — Charge uses magnetic</w:t>
            </w:r>
          </w:p>
        </w:tc>
      </w:tr>
      <w:tr>
        <w:tc>
          <w:tcPr>
            <w:tcW w:type="dxa" w:w="234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4–6</w:t>
            </w:r>
          </w:p>
        </w:tc>
        <w:tc>
          <w:tcPr>
            <w:tcW w:type="dxa" w:w="701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Dual-zone cartridge + aluminium frame</w:t>
            </w:r>
          </w:p>
        </w:tc>
      </w:tr>
      <w:tr>
        <w:tc>
          <w:tcPr>
            <w:tcW w:type="dxa" w:w="234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7–8</w:t>
            </w:r>
          </w:p>
        </w:tc>
        <w:tc>
          <w:tcPr>
            <w:tcW w:type="dxa" w:w="701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Magnetic click retention detail</w:t>
            </w:r>
          </w:p>
        </w:tc>
      </w:tr>
      <w:tr>
        <w:tc>
          <w:tcPr>
            <w:tcW w:type="dxa" w:w="234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9–10</w:t>
            </w:r>
          </w:p>
        </w:tc>
        <w:tc>
          <w:tcPr>
            <w:tcW w:type="dxa" w:w="701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Multi-zone induction plate regulation</w:t>
            </w:r>
          </w:p>
        </w:tc>
      </w:tr>
    </w:tbl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10. Certification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Same standard as Comfort: IEC 60335-2-81 for the induction plate. Get a DEKRA Netherlands quote — budget €2,000–4,000 — and confirm whether Charge's four-coil plate requires separate testing from Comfort's two-coil plate before committing to tooling.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11. Do not change without explicit discussion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Steel disc material: ferromagnetic only, 430-grade or carbon steel, never 304 stainless.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PCM temperature target: 38–42°C, self-regulating via the induction plate.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Launch sequence: Comfort first, then Charge, then Boot — Charge does not launch ahead of Comfort.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Dual independent zones (heel/toe) — this is Charge's core differentiator from Comfort and should not be simplified to match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Magnetic retention force: 3–5N engage / 5–8N release — softer risks accidental release, harder loses the tool-free feel.</w:t>
      </w:r>
    </w:p>
    <w:sectPr>
      <w:headerReference w:type="default" r:id="rId7"/>
      <w:footerReference w:type="default" r:id="rId8"/>
      <w:pgSz w:w="11906" w:h="16838" w:orient="portrait"/>
      <w:pgMar w:top="11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E1DE" w:sz="4"/>
      </w:pBdr>
      <w:spacing w:before="120"/>
      <w:jc w:val="center"/>
    </w:pPr>
    <w:r>
      <w:rPr>
        <w:rFonts w:ascii="Arial" w:cs="Arial" w:eastAsia="Arial" w:hAnsi="Arial"/>
        <w:color w:val="52646D"/>
        <w:sz w:val="14"/>
        <w:szCs w:val="14"/>
      </w:rPr>
      <w:t xml:space="preserve">HydroWarm  |  Charge Factory Spec v1.0  |  July 2026  |  Warm the person. Not the room.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E4A" w:val="clear"/>
          <w:tcMar>
            <w:top w:type="dxa" w:w="160"/>
            <w:left w:type="dxa" w:w="200"/>
            <w:bottom w:type="dxa" w:w="16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HYDROWARM</w:t>
          </w:r>
          <w:r>
            <w:rPr>
              <w:rFonts w:ascii="Arial" w:cs="Arial" w:eastAsia="Arial" w:hAnsi="Arial"/>
              <w:color w:val="F0D9B8"/>
              <w:sz w:val="18"/>
              <w:szCs w:val="18"/>
            </w:rPr>
            <w:t xml:space="preserve">   Charge — Factory Specification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2026-07-24T23:33:54.245Z</dcterms:created>
  <dcterms:modified xsi:type="dcterms:W3CDTF">2026-07-24T23:33:54.264Z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