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200"/>
      </w:pPr>
      <w:r>
        <w:rPr>
          <w:rFonts w:ascii="Arial" w:cs="Arial" w:eastAsia="Arial" w:hAnsi="Arial"/>
          <w:b/>
          <w:bCs/>
          <w:color w:val="1A2E4A"/>
          <w:sz w:val="40"/>
          <w:szCs w:val="40"/>
        </w:rPr>
        <w:t xml:space="preserve">PCM Cartridge + Induction Plate</w:t>
      </w:r>
    </w:p>
    <w:p>
      <w:pPr>
        <w:spacing w:after="260"/>
      </w:pPr>
      <w:r>
        <w:rPr>
          <w:rFonts w:ascii="Arial" w:cs="Arial" w:eastAsia="Arial" w:hAnsi="Arial"/>
          <w:i/>
          <w:iCs/>
          <w:color w:val="52646D"/>
          <w:sz w:val="21"/>
          <w:szCs w:val="21"/>
        </w:rPr>
        <w:t xml:space="preserve">Draft invention disclosure and claim structure — Comfort (base) and Charge (dependent claims)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6291B" w:sz="8"/>
              <w:left w:val="single" w:color="A6291B" w:sz="8"/>
              <w:bottom w:val="single" w:color="A6291B" w:sz="8"/>
              <w:right w:val="single" w:color="A6291B" w:sz="8"/>
            </w:tcBorders>
            <w:shd w:fill="FBE6E3" w:val="clear"/>
            <w:tcMar>
              <w:top w:type="dxa" w:w="160"/>
              <w:left w:type="dxa" w:w="180"/>
              <w:bottom w:type="dxa" w:w="160"/>
              <w:right w:type="dxa" w:w="180"/>
            </w:tcMar>
          </w:tcPr>
          <w:p>
            <w:pPr>
              <w:spacing w:after="0" w:before="0"/>
            </w:pPr>
            <w:r>
              <w:rPr>
                <w:rFonts w:ascii="Arial" w:cs="Arial" w:eastAsia="Arial" w:hAnsi="Arial"/>
                <w:b/>
                <w:bCs/>
                <w:color w:val="A6291B"/>
                <w:sz w:val="19"/>
                <w:szCs w:val="19"/>
              </w:rPr>
              <w:t xml:space="preserve">DRAFT — FOR PATENT ATTORNEY REVIEW ONLY. Not filing-ready. Dutch filing at mijn.rvo.nl requires claims in Dutch and formal claim-drafting review — this document is the technical invention disclosure and a starting claim structure for your attorney to refine, not a document to submit as-is.</w:t>
            </w:r>
          </w:p>
        </w:tc>
      </w:tr>
    </w:tbl>
    <w:p>
      <w:pPr>
        <w:pStyle w:val="Heading1"/>
        <w:pBdr>
          <w:bottom w:val="single" w:color="1A6B8A" w:sz="6"/>
        </w:pBdr>
        <w:spacing w:after="160" w:before="380"/>
      </w:pPr>
      <w:r>
        <w:rPr>
          <w:rFonts w:ascii="Arial" w:cs="Arial" w:eastAsia="Arial" w:hAnsi="Arial"/>
          <w:b/>
          <w:bCs/>
          <w:color w:val="124B61"/>
          <w:sz w:val="30"/>
          <w:szCs w:val="30"/>
        </w:rPr>
        <w:t xml:space="preserve">1. Field of the invention</w:t>
      </w:r>
    </w:p>
    <w:p>
      <w:pPr>
        <w:spacing w:after="140"/>
      </w:pPr>
      <w:r>
        <w:rPr>
          <w:rFonts w:ascii="Arial" w:cs="Arial" w:eastAsia="Arial" w:hAnsi="Arial"/>
          <w:color w:val="16232F"/>
          <w:sz w:val="20"/>
          <w:szCs w:val="20"/>
        </w:rPr>
        <w:t xml:space="preserve">A wearable foot-warming device using a replaceable phase-change material (PCM) cartridge, recharged by a physically separate induction heating plate, with self-regulating temperature behaviour derived from the phase-change properties of the cartridge fill material.</w:t>
      </w:r>
    </w:p>
    <w:p>
      <w:pPr>
        <w:pStyle w:val="Heading1"/>
        <w:pBdr>
          <w:bottom w:val="single" w:color="1A6B8A" w:sz="6"/>
        </w:pBdr>
        <w:spacing w:after="160" w:before="380"/>
      </w:pPr>
      <w:r>
        <w:rPr>
          <w:rFonts w:ascii="Arial" w:cs="Arial" w:eastAsia="Arial" w:hAnsi="Arial"/>
          <w:b/>
          <w:bCs/>
          <w:color w:val="124B61"/>
          <w:sz w:val="30"/>
          <w:szCs w:val="30"/>
        </w:rPr>
        <w:t xml:space="preserve">2. Background</w:t>
      </w:r>
    </w:p>
    <w:p>
      <w:pPr>
        <w:spacing w:after="140"/>
      </w:pPr>
      <w:r>
        <w:rPr>
          <w:rFonts w:ascii="Arial" w:cs="Arial" w:eastAsia="Arial" w:hAnsi="Arial"/>
          <w:color w:val="16232F"/>
          <w:sz w:val="20"/>
          <w:szCs w:val="20"/>
        </w:rPr>
        <w:t xml:space="preserve">Existing electric foot warmers rely on a resistive heating element with a permanent power cord to the foot, creating both an overheat risk and a mobility restriction. Passive alternatives such as cherry-pit or grain-filled warmers hold heat only briefly (20–40 minutes) and require repeated microwave reheating throughout a working day. Heated smart shoes such as Digitsole use embedded electronics directly in the footwear, at high cost and complexity. No identified product separates the wearable element from the heat source using an induction-recharged, phase-change cartridge — see the accompanying Prior Art Search Request for the specific products checked.</w:t>
      </w:r>
    </w:p>
    <w:p>
      <w:pPr>
        <w:pStyle w:val="Heading1"/>
        <w:pBdr>
          <w:bottom w:val="single" w:color="1A6B8A" w:sz="6"/>
        </w:pBdr>
        <w:spacing w:after="160" w:before="380"/>
      </w:pPr>
      <w:r>
        <w:rPr>
          <w:rFonts w:ascii="Arial" w:cs="Arial" w:eastAsia="Arial" w:hAnsi="Arial"/>
          <w:b/>
          <w:bCs/>
          <w:color w:val="124B61"/>
          <w:sz w:val="30"/>
          <w:szCs w:val="30"/>
        </w:rPr>
        <w:t xml:space="preserve">3. Summary of the invention</w:t>
      </w:r>
    </w:p>
    <w:p>
      <w:pPr>
        <w:spacing w:after="140"/>
      </w:pPr>
      <w:r>
        <w:rPr>
          <w:rFonts w:ascii="Arial" w:cs="Arial" w:eastAsia="Arial" w:hAnsi="Arial"/>
          <w:color w:val="16232F"/>
          <w:sz w:val="20"/>
          <w:szCs w:val="20"/>
        </w:rPr>
        <w:t xml:space="preserve">The invention decouples the wearable footwear from the heating mechanism: a footwear body (a slipper or similar) contains a receiving portion for a removable cartridge filled with a phase-change material and bonded to a ferromagnetic disc. A separate induction plate, placed under a desk, inductively heats the disc when the footwear is set on it, which in turn heats the phase-change material to its transition temperature. Because the material absorbs heat as latent heat during its solid-to-liquid phase change, the cartridge self-limits at that temperature rather than continuing to climb — the mechanism requires no thermostat or active electronic temperature control in the footwear itself. Two embodiments are covered: a single-zone version (marketed as HydroWarm Comfort) and a dual-zone version with a load-bearing conductive frame and magnetic cartridge retention (marketed as HydroWarm Charge).</w:t>
      </w:r>
    </w:p>
    <w:p>
      <w:pPr>
        <w:pStyle w:val="Heading1"/>
        <w:pBdr>
          <w:bottom w:val="single" w:color="1A6B8A" w:sz="6"/>
        </w:pBdr>
        <w:spacing w:after="160" w:before="380"/>
      </w:pPr>
      <w:r>
        <w:rPr>
          <w:rFonts w:ascii="Arial" w:cs="Arial" w:eastAsia="Arial" w:hAnsi="Arial"/>
          <w:b/>
          <w:bCs/>
          <w:color w:val="1A2E4A"/>
          <w:sz w:val="30"/>
          <w:szCs w:val="30"/>
        </w:rPr>
        <w:t xml:space="preserve">4. Draft claims</w:t>
      </w:r>
    </w:p>
    <w:p>
      <w:pPr>
        <w:spacing w:after="140"/>
      </w:pPr>
      <w:r>
        <w:rPr>
          <w:rFonts w:ascii="Arial" w:cs="Arial" w:eastAsia="Arial" w:hAnsi="Arial"/>
          <w:color w:val="16232F"/>
          <w:sz w:val="20"/>
          <w:szCs w:val="20"/>
        </w:rPr>
        <w:t xml:space="preserve">Claim 1 is the broadest claim and is intended to cover both the Comfort and Charge embodiments; it should be filed first. Claims 2–3 cover the two alternative cartridge-access mechanisms. Claims 4–10 are dependent claims specific to the Charge embodiment (dual zones, aluminium frame, magnetic retention, multi-zone plate). This structure mirrors the claim map already used for internal tracking in the Charge factory specification.</w:t>
      </w:r>
    </w:p>
    <w:p>
      <w:pPr>
        <w:spacing w:after="160"/>
      </w:pPr>
      <w:r>
        <w:rPr>
          <w:rFonts w:ascii="Arial" w:cs="Arial" w:eastAsia="Arial" w:hAnsi="Arial"/>
          <w:b/>
          <w:bCs/>
          <w:color w:val="1A2E4A"/>
          <w:sz w:val="20"/>
          <w:szCs w:val="20"/>
        </w:rPr>
        <w:t xml:space="preserve">1.  </w:t>
      </w:r>
      <w:r>
        <w:rPr>
          <w:rFonts w:ascii="Arial" w:cs="Arial" w:eastAsia="Arial" w:hAnsi="Arial"/>
          <w:color w:val="16232F"/>
          <w:sz w:val="20"/>
          <w:szCs w:val="20"/>
        </w:rPr>
        <w:t xml:space="preserve">A wearable foot-warming device comprising: a footwear body configured to be worn on a human foot; a cartridge-receiving portion within the footwear body, configured to removably receive a phase-change material cartridge; a cartridge comprising a sealed pouch containing a phase-change material and a ferromagnetic element thermally coupled to the phase-change material; and an induction heating plate, physically separate from the footwear body, configured to inductively heat the ferromagnetic element when the footwear body is placed thereon; wherein the phase-change material is selected to undergo a solid-to-liquid phase transition within a target temperature range, such that the cartridge self-regulates its temperature substantially at the phase-change temperature during heating.</w:t>
      </w:r>
    </w:p>
    <w:p>
      <w:pPr>
        <w:spacing w:after="160"/>
        <w:ind w:left="360"/>
      </w:pPr>
      <w:r>
        <w:rPr>
          <w:rFonts w:ascii="Arial" w:cs="Arial" w:eastAsia="Arial" w:hAnsi="Arial"/>
          <w:b/>
          <w:bCs/>
          <w:color w:val="1A2E4A"/>
          <w:sz w:val="20"/>
          <w:szCs w:val="20"/>
        </w:rPr>
        <w:t xml:space="preserve">2.  </w:t>
      </w:r>
      <w:r>
        <w:rPr>
          <w:rFonts w:ascii="Arial" w:cs="Arial" w:eastAsia="Arial" w:hAnsi="Arial"/>
          <w:color w:val="16232F"/>
          <w:sz w:val="20"/>
          <w:szCs w:val="20"/>
        </w:rPr>
        <w:t xml:space="preserve">The device of claim 1, wherein the cartridge-receiving portion comprises a hook-and-loop fastening flap providing access to the cartridge-receiving portion.</w:t>
      </w:r>
    </w:p>
    <w:p>
      <w:pPr>
        <w:spacing w:after="160"/>
        <w:ind w:left="360"/>
      </w:pPr>
      <w:r>
        <w:rPr>
          <w:rFonts w:ascii="Arial" w:cs="Arial" w:eastAsia="Arial" w:hAnsi="Arial"/>
          <w:b/>
          <w:bCs/>
          <w:color w:val="1A2E4A"/>
          <w:sz w:val="20"/>
          <w:szCs w:val="20"/>
        </w:rPr>
        <w:t xml:space="preserve">3.  </w:t>
      </w:r>
      <w:r>
        <w:rPr>
          <w:rFonts w:ascii="Arial" w:cs="Arial" w:eastAsia="Arial" w:hAnsi="Arial"/>
          <w:color w:val="16232F"/>
          <w:sz w:val="20"/>
          <w:szCs w:val="20"/>
        </w:rPr>
        <w:t xml:space="preserve">The device of claim 1, wherein the cartridge-receiving portion comprises a magnetic retention mechanism configured to removably retain the cartridge via magnetic attraction between a magnet on the cartridge and a complementary ferromagnetic or magnetic element on the footwear body.</w:t>
      </w:r>
    </w:p>
    <w:p>
      <w:pPr>
        <w:spacing w:after="160"/>
        <w:ind w:left="360"/>
      </w:pPr>
      <w:r>
        <w:rPr>
          <w:rFonts w:ascii="Arial" w:cs="Arial" w:eastAsia="Arial" w:hAnsi="Arial"/>
          <w:b/>
          <w:bCs/>
          <w:color w:val="1A2E4A"/>
          <w:sz w:val="20"/>
          <w:szCs w:val="20"/>
        </w:rPr>
        <w:t xml:space="preserve">4.  </w:t>
      </w:r>
      <w:r>
        <w:rPr>
          <w:rFonts w:ascii="Arial" w:cs="Arial" w:eastAsia="Arial" w:hAnsi="Arial"/>
          <w:color w:val="16232F"/>
          <w:sz w:val="20"/>
          <w:szCs w:val="20"/>
        </w:rPr>
        <w:t xml:space="preserve">The device of claim 3, wherein the cartridge-receiving portion comprises two or more independently defined thermal zones, each zone configured to removably receive a separate cartridge.</w:t>
      </w:r>
    </w:p>
    <w:p>
      <w:pPr>
        <w:spacing w:after="160"/>
        <w:ind w:left="360"/>
      </w:pPr>
      <w:r>
        <w:rPr>
          <w:rFonts w:ascii="Arial" w:cs="Arial" w:eastAsia="Arial" w:hAnsi="Arial"/>
          <w:b/>
          <w:bCs/>
          <w:color w:val="1A2E4A"/>
          <w:sz w:val="20"/>
          <w:szCs w:val="20"/>
        </w:rPr>
        <w:t xml:space="preserve">5.  </w:t>
      </w:r>
      <w:r>
        <w:rPr>
          <w:rFonts w:ascii="Arial" w:cs="Arial" w:eastAsia="Arial" w:hAnsi="Arial"/>
          <w:color w:val="16232F"/>
          <w:sz w:val="20"/>
          <w:szCs w:val="20"/>
        </w:rPr>
        <w:t xml:space="preserve">The device of claim 4, wherein the two or more independently defined thermal zones correspond to a heel zone and a toe zone of the footwear body.</w:t>
      </w:r>
    </w:p>
    <w:p>
      <w:pPr>
        <w:spacing w:after="160"/>
        <w:ind w:left="360"/>
      </w:pPr>
      <w:r>
        <w:rPr>
          <w:rFonts w:ascii="Arial" w:cs="Arial" w:eastAsia="Arial" w:hAnsi="Arial"/>
          <w:b/>
          <w:bCs/>
          <w:color w:val="1A2E4A"/>
          <w:sz w:val="20"/>
          <w:szCs w:val="20"/>
        </w:rPr>
        <w:t xml:space="preserve">6.  </w:t>
      </w:r>
      <w:r>
        <w:rPr>
          <w:rFonts w:ascii="Arial" w:cs="Arial" w:eastAsia="Arial" w:hAnsi="Arial"/>
          <w:color w:val="16232F"/>
          <w:sz w:val="20"/>
          <w:szCs w:val="20"/>
        </w:rPr>
        <w:t xml:space="preserve">The device of claim 4, wherein the footwear body comprises a frame formed from a thermally conductive metal, the frame both structurally supporting the footwear body and conducting heat from the ferromagnetic element into the cartridge.</w:t>
      </w:r>
    </w:p>
    <w:p>
      <w:pPr>
        <w:spacing w:after="160"/>
        <w:ind w:left="360"/>
      </w:pPr>
      <w:r>
        <w:rPr>
          <w:rFonts w:ascii="Arial" w:cs="Arial" w:eastAsia="Arial" w:hAnsi="Arial"/>
          <w:b/>
          <w:bCs/>
          <w:color w:val="1A2E4A"/>
          <w:sz w:val="20"/>
          <w:szCs w:val="20"/>
        </w:rPr>
        <w:t xml:space="preserve">7.  </w:t>
      </w:r>
      <w:r>
        <w:rPr>
          <w:rFonts w:ascii="Arial" w:cs="Arial" w:eastAsia="Arial" w:hAnsi="Arial"/>
          <w:color w:val="16232F"/>
          <w:sz w:val="20"/>
          <w:szCs w:val="20"/>
        </w:rPr>
        <w:t xml:space="preserve">The device of claim 3, wherein the magnetic retention mechanism comprises a neodymium magnet configured to engage at a force of between 3 and 5 newtons and release at a force of between 5 and 8 newtons.</w:t>
      </w:r>
    </w:p>
    <w:p>
      <w:pPr>
        <w:spacing w:after="160"/>
        <w:ind w:left="360"/>
      </w:pPr>
      <w:r>
        <w:rPr>
          <w:rFonts w:ascii="Arial" w:cs="Arial" w:eastAsia="Arial" w:hAnsi="Arial"/>
          <w:b/>
          <w:bCs/>
          <w:color w:val="1A2E4A"/>
          <w:sz w:val="20"/>
          <w:szCs w:val="20"/>
        </w:rPr>
        <w:t xml:space="preserve">8.  </w:t>
      </w:r>
      <w:r>
        <w:rPr>
          <w:rFonts w:ascii="Arial" w:cs="Arial" w:eastAsia="Arial" w:hAnsi="Arial"/>
          <w:color w:val="16232F"/>
          <w:sz w:val="20"/>
          <w:szCs w:val="20"/>
        </w:rPr>
        <w:t xml:space="preserve">The device of claim 3, wherein the cartridge comprises a translucent face through which the phase-change material is visible.</w:t>
      </w:r>
    </w:p>
    <w:p>
      <w:pPr>
        <w:spacing w:after="160"/>
        <w:ind w:left="360"/>
      </w:pPr>
      <w:r>
        <w:rPr>
          <w:rFonts w:ascii="Arial" w:cs="Arial" w:eastAsia="Arial" w:hAnsi="Arial"/>
          <w:b/>
          <w:bCs/>
          <w:color w:val="1A2E4A"/>
          <w:sz w:val="20"/>
          <w:szCs w:val="20"/>
        </w:rPr>
        <w:t xml:space="preserve">9.  </w:t>
      </w:r>
      <w:r>
        <w:rPr>
          <w:rFonts w:ascii="Arial" w:cs="Arial" w:eastAsia="Arial" w:hAnsi="Arial"/>
          <w:color w:val="16232F"/>
          <w:sz w:val="20"/>
          <w:szCs w:val="20"/>
        </w:rPr>
        <w:t xml:space="preserve">The device of claim 1, wherein the induction heating plate comprises a plurality of independently controllable induction coils, each coil corresponding to one of a plurality of independently defined thermal zones, and further comprising a control circuit configured to independently regulate the temperature of each zone.</w:t>
      </w:r>
    </w:p>
    <w:p>
      <w:pPr>
        <w:spacing w:after="160"/>
        <w:ind w:left="360"/>
      </w:pPr>
      <w:r>
        <w:rPr>
          <w:rFonts w:ascii="Arial" w:cs="Arial" w:eastAsia="Arial" w:hAnsi="Arial"/>
          <w:b/>
          <w:bCs/>
          <w:color w:val="1A2E4A"/>
          <w:sz w:val="20"/>
          <w:szCs w:val="20"/>
        </w:rPr>
        <w:t xml:space="preserve">10.  </w:t>
      </w:r>
      <w:r>
        <w:rPr>
          <w:rFonts w:ascii="Arial" w:cs="Arial" w:eastAsia="Arial" w:hAnsi="Arial"/>
          <w:color w:val="16232F"/>
          <w:sz w:val="20"/>
          <w:szCs w:val="20"/>
        </w:rPr>
        <w:t xml:space="preserve">The device of claim 9, further comprising a visual indicator associated with each independently controllable induction coil, configured to indicate a heating state and a target-temperature-reached state of the corresponding zone.</w:t>
      </w:r>
    </w:p>
    <w:p>
      <w:pPr>
        <w:pStyle w:val="Heading1"/>
        <w:pBdr>
          <w:bottom w:val="single" w:color="1A6B8A" w:sz="6"/>
        </w:pBdr>
        <w:spacing w:after="160" w:before="380"/>
      </w:pPr>
      <w:r>
        <w:rPr>
          <w:rFonts w:ascii="Arial" w:cs="Arial" w:eastAsia="Arial" w:hAnsi="Arial"/>
          <w:b/>
          <w:bCs/>
          <w:color w:val="124B61"/>
          <w:sz w:val="30"/>
          <w:szCs w:val="30"/>
        </w:rPr>
        <w:t xml:space="preserve">5. Key technical parameters (for attorney reference)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50"/>
      </w:tblGrid>
      <w:tr>
        <w:trPr>
          <w:tblHeader/>
        </w:trPr>
        <w:tc>
          <w:tcPr>
            <w:tcW w:type="dxa" w:w="3200"/>
            <w:tcBorders>
              <w:top w:val="single" w:color="D7E1DE" w:sz="4"/>
              <w:left w:val="none" w:color="FFFFFF" w:sz="0"/>
              <w:bottom w:val="single" w:color="D7E1DE" w:sz="4"/>
              <w:right w:val="none" w:color="FFFFFF" w:sz="0"/>
            </w:tcBorders>
            <w:shd w:fill="1A6B8A" w:val="clear"/>
            <w:tcMar>
              <w:top w:type="dxa" w:w="90"/>
              <w:left w:type="dxa" w:w="120"/>
              <w:bottom w:type="dxa" w:w="90"/>
              <w:right w:type="dxa" w:w="120"/>
            </w:tcMar>
            <w:vAlign w:val="center"/>
          </w:tcPr>
          <w:p>
            <w:r>
              <w:rPr>
                <w:rFonts w:ascii="Arial" w:cs="Arial" w:eastAsia="Arial" w:hAnsi="Arial"/>
                <w:b/>
                <w:bCs/>
                <w:color w:val="FFFFFF"/>
                <w:sz w:val="18"/>
                <w:szCs w:val="18"/>
              </w:rPr>
              <w:t xml:space="preserve">Parameter</w:t>
            </w:r>
          </w:p>
        </w:tc>
        <w:tc>
          <w:tcPr>
            <w:tcW w:type="dxa" w:w="3800"/>
            <w:tcBorders>
              <w:top w:val="single" w:color="D7E1DE" w:sz="4"/>
              <w:left w:val="none" w:color="FFFFFF" w:sz="0"/>
              <w:bottom w:val="single" w:color="D7E1DE" w:sz="4"/>
              <w:right w:val="none" w:color="FFFFFF" w:sz="0"/>
            </w:tcBorders>
            <w:shd w:fill="1A6B8A" w:val="clear"/>
            <w:tcMar>
              <w:top w:type="dxa" w:w="90"/>
              <w:left w:type="dxa" w:w="120"/>
              <w:bottom w:type="dxa" w:w="90"/>
              <w:right w:type="dxa" w:w="120"/>
            </w:tcMar>
            <w:vAlign w:val="center"/>
          </w:tcPr>
          <w:p>
            <w:r>
              <w:rPr>
                <w:rFonts w:ascii="Arial" w:cs="Arial" w:eastAsia="Arial" w:hAnsi="Arial"/>
                <w:b/>
                <w:bCs/>
                <w:color w:val="FFFFFF"/>
                <w:sz w:val="18"/>
                <w:szCs w:val="18"/>
              </w:rPr>
              <w:t xml:space="preserve">Value</w:t>
            </w:r>
          </w:p>
        </w:tc>
        <w:tc>
          <w:tcPr>
            <w:tcW w:type="dxa" w:w="2350"/>
            <w:tcBorders>
              <w:top w:val="single" w:color="D7E1DE" w:sz="4"/>
              <w:left w:val="none" w:color="FFFFFF" w:sz="0"/>
              <w:bottom w:val="single" w:color="D7E1DE" w:sz="4"/>
              <w:right w:val="none" w:color="FFFFFF" w:sz="0"/>
            </w:tcBorders>
            <w:shd w:fill="1A6B8A" w:val="clear"/>
            <w:tcMar>
              <w:top w:type="dxa" w:w="90"/>
              <w:left w:type="dxa" w:w="120"/>
              <w:bottom w:type="dxa" w:w="90"/>
              <w:right w:type="dxa" w:w="120"/>
            </w:tcMar>
            <w:vAlign w:val="center"/>
          </w:tcPr>
          <w:p>
            <w:r>
              <w:rPr>
                <w:rFonts w:ascii="Arial" w:cs="Arial" w:eastAsia="Arial" w:hAnsi="Arial"/>
                <w:b/>
                <w:bCs/>
                <w:color w:val="FFFFFF"/>
                <w:sz w:val="18"/>
                <w:szCs w:val="18"/>
              </w:rPr>
              <w:t xml:space="preserve">Relevant to</w:t>
            </w:r>
          </w:p>
        </w:tc>
      </w:tr>
      <w:tr>
        <w:tc>
          <w:tcPr>
            <w:tcW w:type="dxa" w:w="320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Phase-change material</w:t>
            </w:r>
          </w:p>
        </w:tc>
        <w:tc>
          <w:tcPr>
            <w:tcW w:type="dxa" w:w="380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PEG 1000 (primary); fatty-acid eutectic blend (alternative)</w:t>
            </w:r>
          </w:p>
        </w:tc>
        <w:tc>
          <w:tcPr>
            <w:tcW w:type="dxa" w:w="235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Claim 1</w:t>
            </w:r>
          </w:p>
        </w:tc>
      </w:tr>
      <w:tr>
        <w:tc>
          <w:tcPr>
            <w:tcW w:type="dxa" w:w="320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Phase-change temperature</w:t>
            </w:r>
          </w:p>
        </w:tc>
        <w:tc>
          <w:tcPr>
            <w:tcW w:type="dxa" w:w="380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38–42°C, self-regulating</w:t>
            </w:r>
          </w:p>
        </w:tc>
        <w:tc>
          <w:tcPr>
            <w:tcW w:type="dxa" w:w="235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Claim 1</w:t>
            </w:r>
          </w:p>
        </w:tc>
      </w:tr>
      <w:tr>
        <w:tc>
          <w:tcPr>
            <w:tcW w:type="dxa" w:w="320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Induction disc material</w:t>
            </w:r>
          </w:p>
        </w:tc>
        <w:tc>
          <w:tcPr>
            <w:tcW w:type="dxa" w:w="380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Ferromagnetic steel — carbon steel or 430-grade stainless (NOT 304)</w:t>
            </w:r>
          </w:p>
        </w:tc>
        <w:tc>
          <w:tcPr>
            <w:tcW w:type="dxa" w:w="235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Claim 1</w:t>
            </w:r>
          </w:p>
        </w:tc>
      </w:tr>
      <w:tr>
        <w:tc>
          <w:tcPr>
            <w:tcW w:type="dxa" w:w="320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Magnetic engagement / release force</w:t>
            </w:r>
          </w:p>
        </w:tc>
        <w:tc>
          <w:tcPr>
            <w:tcW w:type="dxa" w:w="380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3–5N / 5–8N</w:t>
            </w:r>
          </w:p>
        </w:tc>
        <w:tc>
          <w:tcPr>
            <w:tcW w:type="dxa" w:w="235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Claim 7</w:t>
            </w:r>
          </w:p>
        </w:tc>
      </w:tr>
      <w:tr>
        <w:tc>
          <w:tcPr>
            <w:tcW w:type="dxa" w:w="320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Frame material (Charge)</w:t>
            </w:r>
          </w:p>
        </w:tc>
        <w:tc>
          <w:tcPr>
            <w:tcW w:type="dxa" w:w="380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Aluminium 6061 alloy, anodised</w:t>
            </w:r>
          </w:p>
        </w:tc>
        <w:tc>
          <w:tcPr>
            <w:tcW w:type="dxa" w:w="235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Claim 6</w:t>
            </w:r>
          </w:p>
        </w:tc>
      </w:tr>
      <w:tr>
        <w:tc>
          <w:tcPr>
            <w:tcW w:type="dxa" w:w="320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Coil frequency</w:t>
            </w:r>
          </w:p>
        </w:tc>
        <w:tc>
          <w:tcPr>
            <w:tcW w:type="dxa" w:w="380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20–100kHz (final value pending electronics OEM confirmation)</w:t>
            </w:r>
          </w:p>
        </w:tc>
        <w:tc>
          <w:tcPr>
            <w:tcW w:type="dxa" w:w="235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Claims 1, 9</w:t>
            </w:r>
          </w:p>
        </w:tc>
      </w:tr>
    </w:tbl>
    <w:p>
      <w:pPr>
        <w:pStyle w:val="Heading1"/>
        <w:pBdr>
          <w:bottom w:val="single" w:color="1A6B8A" w:sz="6"/>
        </w:pBdr>
        <w:spacing w:after="160" w:before="380"/>
      </w:pPr>
      <w:r>
        <w:rPr>
          <w:rFonts w:ascii="Arial" w:cs="Arial" w:eastAsia="Arial" w:hAnsi="Arial"/>
          <w:b/>
          <w:bCs/>
          <w:color w:val="124B61"/>
          <w:sz w:val="30"/>
          <w:szCs w:val="30"/>
        </w:rPr>
        <w:t xml:space="preserve">6. Figures required</w:t>
      </w:r>
    </w:p>
    <w:p>
      <w:pPr>
        <w:pStyle w:val="ListParagraph"/>
        <w:numPr>
          <w:ilvl w:val="0"/>
          <w:numId w:val="1"/>
        </w:numPr>
        <w:spacing w:after="60"/>
      </w:pPr>
      <w:r>
        <w:rPr>
          <w:rFonts w:ascii="Arial" w:cs="Arial" w:eastAsia="Arial" w:hAnsi="Arial"/>
          <w:color w:val="16232F"/>
          <w:sz w:val="20"/>
          <w:szCs w:val="20"/>
        </w:rPr>
        <w:t xml:space="preserve">Exploded view: footwear body, cartridge, ferromagnetic disc, induction plate.</w:t>
      </w:r>
    </w:p>
    <w:p>
      <w:pPr>
        <w:pStyle w:val="ListParagraph"/>
        <w:numPr>
          <w:ilvl w:val="0"/>
          <w:numId w:val="1"/>
        </w:numPr>
        <w:spacing w:after="60"/>
      </w:pPr>
      <w:r>
        <w:rPr>
          <w:rFonts w:ascii="Arial" w:cs="Arial" w:eastAsia="Arial" w:hAnsi="Arial"/>
          <w:color w:val="16232F"/>
          <w:sz w:val="20"/>
          <w:szCs w:val="20"/>
        </w:rPr>
        <w:t xml:space="preserve">Cross-section of a single-zone cartridge seated in the receiving portion (Comfort).</w:t>
      </w:r>
    </w:p>
    <w:p>
      <w:pPr>
        <w:pStyle w:val="ListParagraph"/>
        <w:numPr>
          <w:ilvl w:val="0"/>
          <w:numId w:val="1"/>
        </w:numPr>
        <w:spacing w:after="60"/>
      </w:pPr>
      <w:r>
        <w:rPr>
          <w:rFonts w:ascii="Arial" w:cs="Arial" w:eastAsia="Arial" w:hAnsi="Arial"/>
          <w:color w:val="16232F"/>
          <w:sz w:val="20"/>
          <w:szCs w:val="20"/>
        </w:rPr>
        <w:t xml:space="preserve">Cross-section of a dual-zone cartridge with magnetic retention and aluminium frame (Charge).</w:t>
      </w:r>
    </w:p>
    <w:p>
      <w:pPr>
        <w:pStyle w:val="ListParagraph"/>
        <w:numPr>
          <w:ilvl w:val="0"/>
          <w:numId w:val="1"/>
        </w:numPr>
        <w:spacing w:after="60"/>
      </w:pPr>
      <w:r>
        <w:rPr>
          <w:rFonts w:ascii="Arial" w:cs="Arial" w:eastAsia="Arial" w:hAnsi="Arial"/>
          <w:color w:val="16232F"/>
          <w:sz w:val="20"/>
          <w:szCs w:val="20"/>
        </w:rPr>
        <w:t xml:space="preserve">Plate schematic showing coil placement — 2 coils (Comfort) vs. 4 coils (Charge).</w:t>
      </w:r>
    </w:p>
    <w:p>
      <w:pPr>
        <w:pStyle w:val="Heading1"/>
        <w:pBdr>
          <w:bottom w:val="single" w:color="1A6B8A" w:sz="6"/>
        </w:pBdr>
        <w:spacing w:after="160" w:before="380"/>
      </w:pPr>
      <w:r>
        <w:rPr>
          <w:rFonts w:ascii="Arial" w:cs="Arial" w:eastAsia="Arial" w:hAnsi="Arial"/>
          <w:b/>
          <w:bCs/>
          <w:color w:val="124B61"/>
          <w:sz w:val="30"/>
          <w:szCs w:val="30"/>
        </w:rPr>
        <w:t xml:space="preserve">7. Related filings</w:t>
      </w:r>
    </w:p>
    <w:p>
      <w:pPr>
        <w:spacing w:after="140"/>
      </w:pPr>
      <w:r>
        <w:rPr>
          <w:rFonts w:ascii="Arial" w:cs="Arial" w:eastAsia="Arial" w:hAnsi="Arial"/>
          <w:color w:val="16232F"/>
          <w:sz w:val="20"/>
          <w:szCs w:val="20"/>
        </w:rPr>
        <w:t xml:space="preserve">This brief covers Patent 2 in the HydroWarm portfolio. Patent 1 (the Arch-Hex Grid sole used in the hot-water Boot) is a separate, independent invention and is covered in its own brief — see HydroWarm_ArchHex_Patent_Brief.docx. Send this document together with the Prior Art Search Request memo (HydroWarm_Prior_Art_Search_Request.docx) so prior art can be checked before claims are finalised.</w:t>
      </w:r>
    </w:p>
    <w:sectPr>
      <w:headerReference w:type="default" r:id="rId7"/>
      <w:footerReference w:type="default" r:id="rId8"/>
      <w:pgSz w:w="11906" w:h="16838" w:orient="portrait"/>
      <w:pgMar w:top="11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E1DE" w:sz="4"/>
      </w:pBdr>
      <w:spacing w:before="120"/>
      <w:jc w:val="center"/>
    </w:pPr>
    <w:r>
      <w:rPr>
        <w:rFonts w:ascii="Arial" w:cs="Arial" w:eastAsia="Arial" w:hAnsi="Arial"/>
        <w:color w:val="52646D"/>
        <w:sz w:val="14"/>
        <w:szCs w:val="14"/>
      </w:rPr>
      <w:t xml:space="preserve">HydroWarm  |  Patent Brief v3.0 (Draft)  |  July 2026  |  Confidential — attorney review required before filing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shd w:fill="1A2E4A" w:val="clear"/>
          <w:tcMar>
            <w:top w:type="dxa" w:w="160"/>
            <w:left w:type="dxa" w:w="200"/>
            <w:bottom w:type="dxa" w:w="160"/>
            <w:right w:type="dxa" w:w="200"/>
          </w:tcMar>
        </w:tcPr>
        <w:p>
          <w:r>
            <w:rPr>
              <w:rFonts w:ascii="Arial" w:cs="Arial" w:eastAsia="Arial" w:hAnsi="Arial"/>
              <w:b/>
              <w:bCs/>
              <w:color w:val="FFFFFF"/>
              <w:sz w:val="22"/>
              <w:szCs w:val="22"/>
            </w:rPr>
            <w:t xml:space="preserve">HYDROWARM</w:t>
          </w:r>
          <w:r>
            <w:rPr>
              <w:rFonts w:ascii="Arial" w:cs="Arial" w:eastAsia="Arial" w:hAnsi="Arial"/>
              <w:color w:val="CFE0E6"/>
              <w:sz w:val="18"/>
              <w:szCs w:val="18"/>
            </w:rPr>
            <w:t xml:space="preserve">   Patent Brief v3.0 — Comfort / Charge — DRAFT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2026-07-25T09:45:04.655Z</dcterms:created>
  <dcterms:modified xsi:type="dcterms:W3CDTF">2026-07-25T09:45:04.655Z</dcterms:modified>
</cp:coreProperties>
</file>

<file path=docProps/custom.xml><?xml version="1.0" encoding="utf-8"?>
<Properties xmlns="http://schemas.openxmlformats.org/officeDocument/2006/custom-properties" xmlns:vt="http://schemas.openxmlformats.org/officeDocument/2006/docPropsVTypes"/>
</file>