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200"/>
      </w:pPr>
      <w:r>
        <w:rPr>
          <w:rFonts w:ascii="Arial" w:cs="Arial" w:eastAsia="Arial" w:hAnsi="Arial"/>
          <w:b/>
          <w:bCs/>
          <w:color w:val="1A2E4A"/>
          <w:sz w:val="40"/>
          <w:szCs w:val="40"/>
        </w:rPr>
        <w:t xml:space="preserve">SWOT Analysis</w:t>
      </w:r>
    </w:p>
    <w:p>
      <w:pPr>
        <w:spacing w:after="260"/>
      </w:pPr>
      <w:r>
        <w:rPr>
          <w:rFonts w:ascii="Arial" w:cs="Arial" w:eastAsia="Arial" w:hAnsi="Arial"/>
          <w:i/>
          <w:iCs/>
          <w:color w:val="52646D"/>
          <w:sz w:val="21"/>
          <w:szCs w:val="21"/>
        </w:rPr>
        <w:t xml:space="preserve">Strengths, weaknesses, opportunities, and threats — July 2026 snapshot</w:t>
      </w:r>
    </w:p>
    <w:p>
      <w:pPr>
        <w:spacing w:after="14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A snapshot of HydroWarm's position as of July 2026 — after the product family, factory specs, financial model, and patent briefs, but before either patent is filed, KVK registration is complete, or a physical prototype exists. Internal strategy document; not for external sharing without review.</w:t>
      </w:r>
    </w:p>
    <w:p>
      <w:pPr>
        <w:pStyle w:val="Heading1"/>
        <w:pBdr>
          <w:bottom w:val="single" w:color="1A6B8A" w:sz="6"/>
        </w:pBdr>
        <w:spacing w:after="160" w:before="380"/>
      </w:pPr>
      <w:r>
        <w:rPr>
          <w:rFonts w:ascii="Arial" w:cs="Arial" w:eastAsia="Arial" w:hAnsi="Arial"/>
          <w:b/>
          <w:bCs/>
          <w:color w:val="124B61"/>
          <w:sz w:val="30"/>
          <w:szCs w:val="30"/>
        </w:rPr>
        <w:t xml:space="preserve">SWOT grid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6B8A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STRENGTHS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 genuine, validated market gap — no identified EU competitor sells a hot-water or PCM foot warmer purpose-built for the home office.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Two original, patent-pending mechanisms (Arch-Hex Grid sole; PCM cartridge + induction) — a real IP moat once filed.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Three-tier launch sequence (Comfort → Charge → Boot) de-risks the roadmap: cheapest, simplest product proves the technology before bigger capital commitments.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Founding team is complementary: technical/product vision from the founder, branding and commercialisation plus a TU Delft CAD/prototyping network from the co-developer.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 concrete, testable marketing hook — "12–16 microwave trips eliminated" — that's specific and falsifiable, not vague brand language.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Low break-even (228 Comfort units) keeps early capital risk small relative to most hardware startups.</w:t>
            </w:r>
          </w:p>
        </w:tc>
        <w:tc>
          <w:tcPr>
            <w:tcW w:type="dxa" w:w="4675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BECE6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9531F"/>
                <w:sz w:val="24"/>
                <w:szCs w:val="24"/>
              </w:rPr>
              <w:t xml:space="preserve">WEAKNESSES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rFonts w:ascii="Arial" w:cs="Arial" w:eastAsia="Arial" w:hAnsi="Arial"/>
                <w:color w:val="16232F"/>
                <w:sz w:val="18"/>
                <w:szCs w:val="18"/>
              </w:rPr>
              <w:t xml:space="preserve">Neither patent is filed yet — the single most urgent exposure in the business as of this document.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rFonts w:ascii="Arial" w:cs="Arial" w:eastAsia="Arial" w:hAnsi="Arial"/>
                <w:color w:val="16232F"/>
                <w:sz w:val="18"/>
                <w:szCs w:val="18"/>
              </w:rPr>
              <w:t xml:space="preserve">KVK registration is still pending, which blocks the Qredits loan, Bol.com selling, and every supplier contract at once.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rFonts w:ascii="Arial" w:cs="Arial" w:eastAsia="Arial" w:hAnsi="Arial"/>
                <w:color w:val="16232F"/>
                <w:sz w:val="18"/>
                <w:szCs w:val="18"/>
              </w:rPr>
              <w:t xml:space="preserve">Several COGS figures (Charge in full; Neck and Cape entirely) are estimates, not factory quotes — the margin story in the financial model is unproven for two of three product tiers.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rFonts w:ascii="Arial" w:cs="Arial" w:eastAsia="Arial" w:hAnsi="Arial"/>
                <w:color w:val="16232F"/>
                <w:sz w:val="18"/>
                <w:szCs w:val="18"/>
              </w:rPr>
              <w:t xml:space="preserve">No physical prototype exists yet — the design hasn't been validated with real users, including the arthritis/Raynaud's group the Boot Pro side-zip is specifically designed for.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rFonts w:ascii="Arial" w:cs="Arial" w:eastAsia="Arial" w:hAnsi="Arial"/>
                <w:color w:val="16232F"/>
                <w:sz w:val="18"/>
                <w:szCs w:val="18"/>
              </w:rPr>
              <w:t xml:space="preserve">Two-person team covering manufacturing, certification, legal, marketing, and sales simultaneously — thin bandwidth for a hardware business with this many moving parts.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rFonts w:ascii="Arial" w:cs="Arial" w:eastAsia="Arial" w:hAnsi="Arial"/>
                <w:color w:val="16232F"/>
                <w:sz w:val="18"/>
                <w:szCs w:val="18"/>
              </w:rPr>
              <w:t xml:space="preserve">Founder's personal finances are load-bearing (mortgage, microloan application in progress) — limited runway to absorb delays.</w:t>
            </w:r>
          </w:p>
        </w:tc>
      </w:tr>
      <w:tr>
        <w:tc>
          <w:tcPr>
            <w:tcW w:type="dxa" w:w="4675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BF1E0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B8760A"/>
                <w:sz w:val="24"/>
                <w:szCs w:val="24"/>
              </w:rPr>
              <w:t xml:space="preserve">OPPORTUNITIES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rFonts w:ascii="Arial" w:cs="Arial" w:eastAsia="Arial" w:hAnsi="Arial"/>
                <w:color w:val="16232F"/>
                <w:sz w:val="18"/>
                <w:szCs w:val="18"/>
              </w:rPr>
              <w:t xml:space="preserve">EU grant ecosystem largely untapped: WBSO R&amp;D tax credit (32%), EUIPO SME Fund (75% trademark / 90% IP-scan reimbursement, deadline 4 Dec 2026), and the Qredits microloan itself.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rFonts w:ascii="Arial" w:cs="Arial" w:eastAsia="Arial" w:hAnsi="Arial"/>
                <w:color w:val="16232F"/>
                <w:sz w:val="18"/>
                <w:szCs w:val="18"/>
              </w:rPr>
              <w:t xml:space="preserve">A named, warm-ish path into retail via ConnaBride's existing Lidl NL/GB relationship — faster than cold outreach to a buyer with no context.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rFonts w:ascii="Arial" w:cs="Arial" w:eastAsia="Arial" w:hAnsi="Arial"/>
                <w:color w:val="16232F"/>
                <w:sz w:val="18"/>
                <w:szCs w:val="18"/>
              </w:rPr>
              <w:t xml:space="preserve">Growing home-office population across the EU is a genuinely uncontested addressable market for a desk-specific comfort product.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rFonts w:ascii="Arial" w:cs="Arial" w:eastAsia="Arial" w:hAnsi="Arial"/>
                <w:color w:val="16232F"/>
                <w:sz w:val="18"/>
                <w:szCs w:val="18"/>
              </w:rPr>
              <w:t xml:space="preserve">Three price tiers (Comfort mass-market, Charge premium, Boot flagship) let the same brand capture different customer segments over 2–3 years rather than betting on one.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rFonts w:ascii="Arial" w:cs="Arial" w:eastAsia="Arial" w:hAnsi="Arial"/>
                <w:color w:val="16232F"/>
                <w:sz w:val="18"/>
                <w:szCs w:val="18"/>
              </w:rPr>
              <w:t xml:space="preserve">A documented future concept (hybrid cherry-pit + PCM neck warmer) extends the same patent family — the roadmap doesn't end at three products.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rFonts w:ascii="Arial" w:cs="Arial" w:eastAsia="Arial" w:hAnsi="Arial"/>
                <w:color w:val="16232F"/>
                <w:sz w:val="18"/>
                <w:szCs w:val="18"/>
              </w:rPr>
              <w:t xml:space="preserve">Direct channels (Kickstarter, Bol.com, Amazon) let demand and pricing get tested before committing to retail-scale production volumes.</w:t>
            </w:r>
          </w:p>
        </w:tc>
        <w:tc>
          <w:tcPr>
            <w:tcW w:type="dxa" w:w="4675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2E4A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THREATS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Large incumbents (Beurer, Medisana) have the channel access and manufacturing scale to fast-follow once the category is proven — HydroWarm's moat is the patents, not size.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Retail partners hold real pricing leverage: the financial model's All-Partners scenario shows margin compressing to roughly 13%, against ~62–68% direct. Over-relying on partner volume is a structural risk, not a hypothetical one.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 filing delay leaves a window where the core innovations could be disclosed or independently arrived at by a competitor.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Hot-water products (Boot) carry the most complex and least-mapped certification path in the family — the exact standard and cost aren't pinned down yet, unlike the induction plate's IEC 60335-2-81.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COGS across most of the range are still estimates; a real factory quote landing meaningfully above the modelled range would compress margin across every scenario in the financial model.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Product-liability exposure specific to a worn, filled water bladder (the 2-litre limit, burn/leak risk) is a materially different risk profile than the PCM cartridge lines.</w:t>
            </w:r>
          </w:p>
        </w:tc>
      </w:tr>
    </w:tbl>
    <w:p>
      <w:pPr>
        <w:pStyle w:val="Heading1"/>
        <w:pBdr>
          <w:bottom w:val="single" w:color="1A6B8A" w:sz="6"/>
        </w:pBdr>
        <w:spacing w:after="160" w:before="380"/>
      </w:pPr>
      <w:r>
        <w:rPr>
          <w:rFonts w:ascii="Arial" w:cs="Arial" w:eastAsia="Arial" w:hAnsi="Arial"/>
          <w:b/>
          <w:bCs/>
          <w:color w:val="124B61"/>
          <w:sz w:val="30"/>
          <w:szCs w:val="30"/>
        </w:rPr>
        <w:t xml:space="preserve">Reading the grid</w:t>
      </w:r>
    </w:p>
    <w:p>
      <w:pPr>
        <w:spacing w:after="14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Strengths and Opportunities skew toward market and IP position — the underlying idea and the sequencing around it are sound. Weaknesses and Threats skew toward execution and timing — almost everything in those two quadrants is a solvable problem, but several are time-sensitive (patent filing, KVK registration) or dependent on information the business doesn't have yet (real COGS quotes, certification cost for the hot-water line).</w:t>
      </w:r>
    </w:p>
    <w:p>
      <w:pPr>
        <w:spacing w:after="14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The one Threat worth sitting with longest is the partner-channel margin compression — it isn't a future risk, it's already visible in the current financial model (13% margin, All-Partners scenario) and directly shapes the recommendation to keep partners at roughly half of Year 2 volume rather than scaling through them exclusively.</w:t>
      </w:r>
    </w:p>
    <w:p>
      <w:pPr>
        <w:pStyle w:val="Heading1"/>
        <w:pBdr>
          <w:bottom w:val="single" w:color="1A6B8A" w:sz="6"/>
        </w:pBdr>
        <w:spacing w:after="160" w:before="380"/>
      </w:pPr>
      <w:r>
        <w:rPr>
          <w:rFonts w:ascii="Arial" w:cs="Arial" w:eastAsia="Arial" w:hAnsi="Arial"/>
          <w:b/>
          <w:bCs/>
          <w:color w:val="124B61"/>
          <w:sz w:val="30"/>
          <w:szCs w:val="30"/>
        </w:rPr>
        <w:t xml:space="preserve">What this suggests, in priority order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File both patents before any further disclosure to factories, partners, or investors — this converts the single biggest Weakness into a Strength, and closes the Threat window at the same time.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Register the KVK eenmanszaak — it's free, and it's the dependency blocking the Qredits loan, Bol.com selling, and every supplier contract simultaneously.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Get a real factory quote for Comfort before the Kickstarter campaign locks in pricing — the reward tiers are calculated against an unconfirmed COGS range.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Treat the hot-water Boot's certification path as its own workstream, not a smaller version of the induction-plate certification already underway for Comfort and Charge.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Keep the direct/partner mix close to the modelled 50/50 recommendation rather than chasing partner volume alone — the margin math argues against over-indexing on retail partners even once relationships like ConnaBride are secured.</w:t>
      </w:r>
    </w:p>
    <w:sectPr>
      <w:headerReference w:type="default" r:id="rId7"/>
      <w:footerReference w:type="default" r:id="rId8"/>
      <w:pgSz w:w="11906" w:h="16838" w:orient="portrait"/>
      <w:pgMar w:top="11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E1DE" w:sz="4"/>
      </w:pBdr>
      <w:spacing w:before="120"/>
      <w:jc w:val="center"/>
    </w:pPr>
    <w:r>
      <w:rPr>
        <w:rFonts w:ascii="Arial" w:cs="Arial" w:eastAsia="Arial" w:hAnsi="Arial"/>
        <w:color w:val="52646D"/>
        <w:sz w:val="14"/>
        <w:szCs w:val="14"/>
      </w:rPr>
      <w:t xml:space="preserve">HydroWarm  |  SWOT Analysis  |  July 2026  |  Internal — not for external distribution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5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E4A" w:val="clear"/>
          <w:tcMar>
            <w:top w:type="dxa" w:w="160"/>
            <w:left w:type="dxa" w:w="200"/>
            <w:bottom w:type="dxa" w:w="160"/>
            <w:right w:type="dxa" w:w="2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2"/>
              <w:szCs w:val="22"/>
            </w:rPr>
            <w:t xml:space="preserve">HYDROWARM</w:t>
          </w:r>
          <w:r>
            <w:rPr>
              <w:rFonts w:ascii="Arial" w:cs="Arial" w:eastAsia="Arial" w:hAnsi="Arial"/>
              <w:color w:val="CFE0E6"/>
              <w:sz w:val="18"/>
              <w:szCs w:val="18"/>
            </w:rPr>
            <w:t xml:space="preserve">   SWOT Analysis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2026-07-25T16:55:46.530Z</dcterms:created>
  <dcterms:modified xsi:type="dcterms:W3CDTF">2026-07-25T16:55:46.531Z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